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3C312D83" w:rsidR="007A1E13" w:rsidRPr="00487F53" w:rsidRDefault="15DAE9DE" w:rsidP="0099789C">
      <w:pPr>
        <w:pStyle w:val="Heading1"/>
        <w:spacing w:line="240" w:lineRule="auto"/>
        <w:rPr>
          <w:rFonts w:ascii="Inter Black" w:hAnsi="Inter Black"/>
          <w:color w:val="023C40"/>
        </w:rPr>
      </w:pPr>
      <w:r w:rsidRPr="00487F53">
        <w:rPr>
          <w:rFonts w:ascii="Inter Black" w:hAnsi="Inter Black"/>
          <w:color w:val="023C40"/>
        </w:rPr>
        <w:t>Solar and Our Surroundings</w:t>
      </w:r>
    </w:p>
    <w:p w14:paraId="4B1E33AF" w14:textId="1FEE1B5C" w:rsidR="42BA097F" w:rsidRPr="00487F53" w:rsidRDefault="42BA097F" w:rsidP="00487F53">
      <w:pPr>
        <w:pStyle w:val="MRRSubheader"/>
      </w:pPr>
      <w:r w:rsidRPr="00487F53">
        <w:t>Does solar make noise?</w:t>
      </w:r>
    </w:p>
    <w:p w14:paraId="3FB60B32" w14:textId="21D9D33A" w:rsidR="645332DF" w:rsidRPr="00487F53" w:rsidRDefault="645332DF" w:rsidP="0099789C">
      <w:pPr>
        <w:spacing w:line="240" w:lineRule="auto"/>
        <w:rPr>
          <w:rFonts w:ascii="Source Serif Pro" w:hAnsi="Source Serif Pro"/>
        </w:rPr>
      </w:pPr>
      <w:r w:rsidRPr="00487F53">
        <w:rPr>
          <w:rFonts w:ascii="Source Serif Pro" w:hAnsi="Source Serif Pro"/>
        </w:rPr>
        <w:t xml:space="preserve">Though tracking motors and inverters may make a soft humming sound, this noise is </w:t>
      </w:r>
      <w:r w:rsidR="18564947" w:rsidRPr="00487F53">
        <w:rPr>
          <w:rFonts w:ascii="Source Serif Pro" w:hAnsi="Source Serif Pro"/>
        </w:rPr>
        <w:t>in</w:t>
      </w:r>
      <w:r w:rsidRPr="00487F53">
        <w:rPr>
          <w:rFonts w:ascii="Source Serif Pro" w:hAnsi="Source Serif Pro"/>
        </w:rPr>
        <w:t xml:space="preserve">audible from </w:t>
      </w:r>
      <w:r w:rsidR="782653BC" w:rsidRPr="00487F53">
        <w:rPr>
          <w:rFonts w:ascii="Source Serif Pro" w:hAnsi="Source Serif Pro"/>
        </w:rPr>
        <w:t xml:space="preserve">50-150 feet </w:t>
      </w:r>
      <w:r w:rsidRPr="00487F53">
        <w:rPr>
          <w:rFonts w:ascii="Source Serif Pro" w:hAnsi="Source Serif Pro"/>
        </w:rPr>
        <w:t>outside the solar enclosure.</w:t>
      </w:r>
      <w:r w:rsidR="0099789C" w:rsidRPr="00487F53">
        <w:rPr>
          <w:rStyle w:val="FootnoteReference"/>
          <w:rFonts w:ascii="Source Serif Pro" w:hAnsi="Source Serif Pro"/>
        </w:rPr>
        <w:footnoteReference w:id="1"/>
      </w:r>
      <w:r w:rsidRPr="00487F53">
        <w:rPr>
          <w:rFonts w:ascii="Source Serif Pro" w:hAnsi="Source Serif Pro"/>
        </w:rPr>
        <w:t xml:space="preserve"> Noise associated with solar panels is limited to their construction and removal, which are brief </w:t>
      </w:r>
      <w:r w:rsidR="00E929FF" w:rsidRPr="00487F53">
        <w:rPr>
          <w:rFonts w:ascii="Source Serif Pro" w:hAnsi="Source Serif Pro"/>
        </w:rPr>
        <w:t>periods</w:t>
      </w:r>
      <w:r w:rsidRPr="00487F53">
        <w:rPr>
          <w:rFonts w:ascii="Source Serif Pro" w:hAnsi="Source Serif Pro"/>
        </w:rPr>
        <w:t xml:space="preserve"> over the course of a solar farm’s life.</w:t>
      </w:r>
    </w:p>
    <w:p w14:paraId="24C326BC" w14:textId="3C890986" w:rsidR="00F44737" w:rsidRDefault="00487F53" w:rsidP="00487F53">
      <w:pPr>
        <w:pStyle w:val="MRRSubheader"/>
      </w:pPr>
      <w:r>
        <w:rPr>
          <w:noProof/>
        </w:rPr>
        <w:drawing>
          <wp:anchor distT="0" distB="0" distL="114300" distR="114300" simplePos="0" relativeHeight="251661312" behindDoc="0" locked="0" layoutInCell="1" allowOverlap="1" wp14:anchorId="5652C05B" wp14:editId="7CF22560">
            <wp:simplePos x="0" y="0"/>
            <wp:positionH relativeFrom="margin">
              <wp:align>left</wp:align>
            </wp:positionH>
            <wp:positionV relativeFrom="margin">
              <wp:posOffset>1255395</wp:posOffset>
            </wp:positionV>
            <wp:extent cx="2225040" cy="167640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20 mG (2).png"/>
                    <pic:cNvPicPr/>
                  </pic:nvPicPr>
                  <pic:blipFill rotWithShape="1">
                    <a:blip r:embed="rId7" cstate="print">
                      <a:extLst>
                        <a:ext uri="{28A0092B-C50C-407E-A947-70E740481C1C}">
                          <a14:useLocalDpi xmlns:a14="http://schemas.microsoft.com/office/drawing/2010/main" val="0"/>
                        </a:ext>
                      </a:extLst>
                    </a:blip>
                    <a:srcRect t="12854" b="11825"/>
                    <a:stretch/>
                  </pic:blipFill>
                  <pic:spPr bwMode="auto">
                    <a:xfrm>
                      <a:off x="0" y="0"/>
                      <a:ext cx="222504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4737" w:rsidRPr="16998460">
        <w:t>Does solar create glare?</w:t>
      </w:r>
    </w:p>
    <w:p w14:paraId="6DB1BAA8" w14:textId="7433A769" w:rsidR="00F44737" w:rsidRPr="00487F53" w:rsidRDefault="00F44737" w:rsidP="00F44737">
      <w:pPr>
        <w:spacing w:line="240" w:lineRule="auto"/>
        <w:rPr>
          <w:rFonts w:ascii="Source Serif Pro" w:hAnsi="Source Serif Pro"/>
        </w:rPr>
      </w:pPr>
      <w:r w:rsidRPr="00487F53">
        <w:rPr>
          <w:rFonts w:ascii="Source Serif Pro" w:hAnsi="Source Serif Pro"/>
        </w:rPr>
        <w:t>Even though they look somewhat shiny, PV solar modules must absorb light rather than reflect it. Any reflected light cannot be converted into electricity, so solar panels are designed to ensure minimal reflection.</w:t>
      </w:r>
      <w:r w:rsidRPr="00487F53">
        <w:rPr>
          <w:rStyle w:val="FootnoteReference"/>
          <w:rFonts w:ascii="Source Serif Pro" w:hAnsi="Source Serif Pro"/>
        </w:rPr>
        <w:footnoteReference w:id="2"/>
      </w:r>
      <w:r w:rsidRPr="00487F53">
        <w:rPr>
          <w:rFonts w:ascii="Source Serif Pro" w:hAnsi="Source Serif Pro"/>
        </w:rPr>
        <w:t xml:space="preserve"> Solar farms are often installed near airports, demonstrating the lack of glare associated with PV modules.</w:t>
      </w:r>
      <w:r w:rsidRPr="00487F53">
        <w:rPr>
          <w:rStyle w:val="FootnoteReference"/>
          <w:rFonts w:ascii="Source Serif Pro" w:hAnsi="Source Serif Pro"/>
        </w:rPr>
        <w:footnoteReference w:id="3"/>
      </w:r>
      <w:r w:rsidRPr="00487F53">
        <w:rPr>
          <w:rFonts w:ascii="Source Serif Pro" w:hAnsi="Source Serif Pro"/>
          <w:noProof/>
        </w:rPr>
        <w:t xml:space="preserve"> </w:t>
      </w:r>
    </w:p>
    <w:p w14:paraId="00977635" w14:textId="77777777" w:rsidR="00A82704" w:rsidRDefault="00A82704" w:rsidP="00487F53">
      <w:pPr>
        <w:pStyle w:val="MRRSubheader"/>
      </w:pPr>
      <w:r w:rsidRPr="16998460">
        <w:t>What are setbacks?</w:t>
      </w:r>
    </w:p>
    <w:p w14:paraId="731CE52B" w14:textId="52DA4823" w:rsidR="00A82704" w:rsidRPr="00487F53" w:rsidRDefault="00A82704" w:rsidP="00A82704">
      <w:pPr>
        <w:spacing w:line="240" w:lineRule="auto"/>
        <w:rPr>
          <w:rFonts w:ascii="Source Serif Pro" w:hAnsi="Source Serif Pro"/>
        </w:rPr>
      </w:pPr>
      <w:r w:rsidRPr="00487F53">
        <w:rPr>
          <w:rFonts w:ascii="Source Serif Pro" w:hAnsi="Source Serif Pro"/>
        </w:rPr>
        <w:t>Solar setbacks are distancing requirements that separate solar projects from residences and private property. Ground-mounted solar projects must be sited a certain distance from homes to ensure visibility and access, traffic safety, ventilation, and vegetation management. Setbacks are typically determined locally, allowing communities to determine the best practices for their area and landscape.</w:t>
      </w:r>
      <w:r w:rsidRPr="00487F53">
        <w:rPr>
          <w:rStyle w:val="FootnoteReference"/>
          <w:rFonts w:ascii="Source Serif Pro" w:hAnsi="Source Serif Pro"/>
        </w:rPr>
        <w:footnoteReference w:id="4"/>
      </w:r>
      <w:r w:rsidRPr="00487F53">
        <w:rPr>
          <w:rFonts w:ascii="Source Serif Pro" w:hAnsi="Source Serif Pro"/>
        </w:rPr>
        <w:t xml:space="preserve">  </w:t>
      </w:r>
    </w:p>
    <w:p w14:paraId="1B7AB902" w14:textId="071CB373" w:rsidR="42BA097F" w:rsidRDefault="42BA097F" w:rsidP="00487F53">
      <w:pPr>
        <w:pStyle w:val="MRRSubheader"/>
      </w:pPr>
      <w:r w:rsidRPr="16998460">
        <w:t>What is screening?</w:t>
      </w:r>
      <w:r w:rsidR="00F56CD6" w:rsidRPr="00F56CD6">
        <w:t xml:space="preserve"> </w:t>
      </w:r>
      <w:r w:rsidR="00F56CD6">
        <w:t> </w:t>
      </w:r>
    </w:p>
    <w:p w14:paraId="694D1A86" w14:textId="3C106364" w:rsidR="07656C6B" w:rsidRDefault="07656C6B" w:rsidP="0099789C">
      <w:pPr>
        <w:spacing w:line="240" w:lineRule="auto"/>
      </w:pPr>
      <w:r w:rsidRPr="00487F53">
        <w:rPr>
          <w:rFonts w:ascii="Source Serif Pro" w:hAnsi="Source Serif Pro"/>
        </w:rPr>
        <w:t xml:space="preserve">Screening </w:t>
      </w:r>
      <w:r w:rsidR="002C3677" w:rsidRPr="00487F53">
        <w:rPr>
          <w:rFonts w:ascii="Source Serif Pro" w:hAnsi="Source Serif Pro"/>
        </w:rPr>
        <w:t>can provide</w:t>
      </w:r>
      <w:r w:rsidRPr="00487F53">
        <w:rPr>
          <w:rFonts w:ascii="Source Serif Pro" w:hAnsi="Source Serif Pro"/>
        </w:rPr>
        <w:t xml:space="preserve"> visua</w:t>
      </w:r>
      <w:r w:rsidR="00DF6F38" w:rsidRPr="00487F53">
        <w:rPr>
          <w:rFonts w:ascii="Source Serif Pro" w:hAnsi="Source Serif Pro"/>
        </w:rPr>
        <w:t xml:space="preserve">l cover of a solar project, </w:t>
      </w:r>
      <w:r w:rsidRPr="00487F53">
        <w:rPr>
          <w:rFonts w:ascii="Source Serif Pro" w:hAnsi="Source Serif Pro"/>
        </w:rPr>
        <w:t>minimiz</w:t>
      </w:r>
      <w:r w:rsidR="00DF6F38" w:rsidRPr="00487F53">
        <w:rPr>
          <w:rFonts w:ascii="Source Serif Pro" w:hAnsi="Source Serif Pro"/>
        </w:rPr>
        <w:t>ing</w:t>
      </w:r>
      <w:r w:rsidRPr="00487F53">
        <w:rPr>
          <w:rFonts w:ascii="Source Serif Pro" w:hAnsi="Source Serif Pro"/>
        </w:rPr>
        <w:t xml:space="preserve"> disruption to </w:t>
      </w:r>
      <w:r w:rsidR="37195A73" w:rsidRPr="00487F53">
        <w:rPr>
          <w:rFonts w:ascii="Source Serif Pro" w:hAnsi="Source Serif Pro"/>
        </w:rPr>
        <w:t>surrounding scenery</w:t>
      </w:r>
      <w:r w:rsidR="002C3677" w:rsidRPr="00487F53">
        <w:rPr>
          <w:rFonts w:ascii="Source Serif Pro" w:hAnsi="Source Serif Pro"/>
        </w:rPr>
        <w:t>, especially in historic areas</w:t>
      </w:r>
      <w:r w:rsidR="37195A73" w:rsidRPr="00487F53">
        <w:rPr>
          <w:rFonts w:ascii="Source Serif Pro" w:hAnsi="Source Serif Pro"/>
        </w:rPr>
        <w:t>. Screen</w:t>
      </w:r>
      <w:r w:rsidR="00B915A8" w:rsidRPr="00487F53">
        <w:rPr>
          <w:rFonts w:ascii="Source Serif Pro" w:hAnsi="Source Serif Pro"/>
        </w:rPr>
        <w:t>ing</w:t>
      </w:r>
      <w:r w:rsidR="37195A73" w:rsidRPr="00487F53">
        <w:rPr>
          <w:rFonts w:ascii="Source Serif Pro" w:hAnsi="Source Serif Pro"/>
        </w:rPr>
        <w:t xml:space="preserve"> often consist</w:t>
      </w:r>
      <w:r w:rsidR="00B915A8" w:rsidRPr="00487F53">
        <w:rPr>
          <w:rFonts w:ascii="Source Serif Pro" w:hAnsi="Source Serif Pro"/>
        </w:rPr>
        <w:t>s</w:t>
      </w:r>
      <w:r w:rsidR="37195A73" w:rsidRPr="00487F53">
        <w:rPr>
          <w:rFonts w:ascii="Source Serif Pro" w:hAnsi="Source Serif Pro"/>
        </w:rPr>
        <w:t xml:space="preserve"> </w:t>
      </w:r>
      <w:r w:rsidR="00DF6F38" w:rsidRPr="00487F53">
        <w:rPr>
          <w:rFonts w:ascii="Source Serif Pro" w:hAnsi="Source Serif Pro"/>
        </w:rPr>
        <w:t xml:space="preserve">of </w:t>
      </w:r>
      <w:r w:rsidR="37195A73" w:rsidRPr="00487F53">
        <w:rPr>
          <w:rFonts w:ascii="Source Serif Pro" w:hAnsi="Source Serif Pro"/>
        </w:rPr>
        <w:t>greenery; h</w:t>
      </w:r>
      <w:r w:rsidR="002C3677" w:rsidRPr="00487F53">
        <w:rPr>
          <w:rFonts w:ascii="Source Serif Pro" w:hAnsi="Source Serif Pro"/>
        </w:rPr>
        <w:t>edges, bushes</w:t>
      </w:r>
      <w:r w:rsidR="25314BEA" w:rsidRPr="00487F53">
        <w:rPr>
          <w:rFonts w:ascii="Source Serif Pro" w:hAnsi="Source Serif Pro"/>
        </w:rPr>
        <w:t xml:space="preserve"> and </w:t>
      </w:r>
      <w:r w:rsidR="00B915A8" w:rsidRPr="00487F53">
        <w:rPr>
          <w:rFonts w:ascii="Source Serif Pro" w:hAnsi="Source Serif Pro"/>
        </w:rPr>
        <w:t xml:space="preserve">trees. </w:t>
      </w:r>
      <w:r w:rsidR="00DF6F38" w:rsidRPr="00487F53">
        <w:rPr>
          <w:rFonts w:ascii="Source Serif Pro" w:hAnsi="Source Serif Pro"/>
        </w:rPr>
        <w:t>I</w:t>
      </w:r>
      <w:r w:rsidR="002C3677" w:rsidRPr="00487F53">
        <w:rPr>
          <w:rFonts w:ascii="Source Serif Pro" w:hAnsi="Source Serif Pro"/>
        </w:rPr>
        <w:t xml:space="preserve">t should be noted that </w:t>
      </w:r>
      <w:r w:rsidR="00DF6F38" w:rsidRPr="00487F53">
        <w:rPr>
          <w:rFonts w:ascii="Source Serif Pro" w:hAnsi="Source Serif Pro"/>
        </w:rPr>
        <w:t>screening</w:t>
      </w:r>
      <w:r w:rsidR="002C3677" w:rsidRPr="00487F53">
        <w:rPr>
          <w:rFonts w:ascii="Source Serif Pro" w:hAnsi="Source Serif Pro"/>
        </w:rPr>
        <w:t xml:space="preserve"> requirements can block sunlight and decrease the efficiency of solar installments</w:t>
      </w:r>
      <w:r w:rsidR="0099789C" w:rsidRPr="00487F53">
        <w:rPr>
          <w:rFonts w:ascii="Source Serif Pro" w:hAnsi="Source Serif Pro"/>
        </w:rPr>
        <w:t>, with over-regulation being detrimental to our ability to develop vital solar projects</w:t>
      </w:r>
      <w:r w:rsidR="002C3677" w:rsidRPr="00487F53">
        <w:rPr>
          <w:rFonts w:ascii="Source Serif Pro" w:hAnsi="Source Serif Pro"/>
        </w:rPr>
        <w:t>.</w:t>
      </w:r>
      <w:r w:rsidR="002C3677" w:rsidRPr="002C3677">
        <w:rPr>
          <w:rStyle w:val="FootnoteReference"/>
        </w:rPr>
        <w:t xml:space="preserve"> </w:t>
      </w:r>
      <w:r w:rsidR="002C3677">
        <w:rPr>
          <w:rStyle w:val="FootnoteReference"/>
        </w:rPr>
        <w:footnoteReference w:id="5"/>
      </w:r>
    </w:p>
    <w:p w14:paraId="3237DEA1" w14:textId="5BC1CDFD" w:rsidR="21AC636E" w:rsidRDefault="00487F53" w:rsidP="00487F53">
      <w:pPr>
        <w:pStyle w:val="MRRSubheader"/>
      </w:pPr>
      <w:r>
        <w:rPr>
          <w:noProof/>
        </w:rPr>
        <w:drawing>
          <wp:anchor distT="0" distB="0" distL="114300" distR="114300" simplePos="0" relativeHeight="251659264" behindDoc="0" locked="0" layoutInCell="1" allowOverlap="1" wp14:anchorId="780E114B" wp14:editId="0F960155">
            <wp:simplePos x="0" y="0"/>
            <wp:positionH relativeFrom="margin">
              <wp:align>right</wp:align>
            </wp:positionH>
            <wp:positionV relativeFrom="margin">
              <wp:posOffset>4614545</wp:posOffset>
            </wp:positionV>
            <wp:extent cx="2366010" cy="15748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20 mG (1).png"/>
                    <pic:cNvPicPr/>
                  </pic:nvPicPr>
                  <pic:blipFill rotWithShape="1">
                    <a:blip r:embed="rId8" cstate="print">
                      <a:extLst>
                        <a:ext uri="{28A0092B-C50C-407E-A947-70E740481C1C}">
                          <a14:useLocalDpi xmlns:a14="http://schemas.microsoft.com/office/drawing/2010/main" val="0"/>
                        </a:ext>
                      </a:extLst>
                    </a:blip>
                    <a:srcRect t="17902" b="15524"/>
                    <a:stretch/>
                  </pic:blipFill>
                  <pic:spPr bwMode="auto">
                    <a:xfrm>
                      <a:off x="0" y="0"/>
                      <a:ext cx="2366010" cy="157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1AC636E" w:rsidRPr="16998460">
        <w:t xml:space="preserve">What </w:t>
      </w:r>
      <w:r w:rsidR="00AD7C0C">
        <w:t>is</w:t>
      </w:r>
      <w:r w:rsidR="21AC636E" w:rsidRPr="16998460">
        <w:t xml:space="preserve"> EMF</w:t>
      </w:r>
      <w:r w:rsidR="7F8B6B57" w:rsidRPr="16998460">
        <w:t xml:space="preserve"> </w:t>
      </w:r>
      <w:r w:rsidR="21AC636E" w:rsidRPr="16998460">
        <w:t>and how does it relate to solar?</w:t>
      </w:r>
    </w:p>
    <w:p w14:paraId="594BD2A5" w14:textId="00E2610C" w:rsidR="69287DC5" w:rsidRPr="00487F53" w:rsidRDefault="69287DC5" w:rsidP="0099789C">
      <w:pPr>
        <w:spacing w:line="240" w:lineRule="auto"/>
        <w:rPr>
          <w:rFonts w:ascii="Source Serif Pro" w:hAnsi="Source Serif Pro"/>
          <w:noProof/>
        </w:rPr>
      </w:pPr>
      <w:r w:rsidRPr="00487F53">
        <w:rPr>
          <w:rFonts w:ascii="Source Serif Pro" w:hAnsi="Source Serif Pro"/>
        </w:rPr>
        <w:t xml:space="preserve">Electromagnetic Fields (EMFs) are produced by solar panels at levels similar to those created by household appliances. Solar panels generate non-ionizing electromagnetic fields (EMF), which are different from the ionizing radiation produced by x-rays. Non-ionizing radiation makes enough energy to heat things, but </w:t>
      </w:r>
      <w:r w:rsidR="00824054" w:rsidRPr="00487F53">
        <w:rPr>
          <w:rFonts w:ascii="Source Serif Pro" w:hAnsi="Source Serif Pro"/>
        </w:rPr>
        <w:t xml:space="preserve">does </w:t>
      </w:r>
      <w:r w:rsidRPr="00487F53">
        <w:rPr>
          <w:rFonts w:ascii="Source Serif Pro" w:hAnsi="Source Serif Pro"/>
        </w:rPr>
        <w:t>not displace electrons from their atoms and molecules or damage DNA.</w:t>
      </w:r>
      <w:r w:rsidRPr="00487F53">
        <w:rPr>
          <w:rStyle w:val="FootnoteReference"/>
          <w:rFonts w:ascii="Source Serif Pro" w:hAnsi="Source Serif Pro"/>
        </w:rPr>
        <w:footnoteReference w:id="6"/>
      </w:r>
      <w:r w:rsidRPr="00487F53">
        <w:rPr>
          <w:rFonts w:ascii="Source Serif Pro" w:hAnsi="Source Serif Pro"/>
        </w:rPr>
        <w:t xml:space="preserve"> </w:t>
      </w:r>
      <w:r w:rsidR="00E929FF" w:rsidRPr="00487F53">
        <w:rPr>
          <w:rFonts w:ascii="Source Serif Pro" w:hAnsi="Source Serif Pro"/>
        </w:rPr>
        <w:t>At the boundary of a solar project</w:t>
      </w:r>
      <w:r w:rsidR="009F121C" w:rsidRPr="00487F53">
        <w:rPr>
          <w:rFonts w:ascii="Source Serif Pro" w:hAnsi="Source Serif Pro"/>
        </w:rPr>
        <w:t xml:space="preserve">, </w:t>
      </w:r>
      <w:r w:rsidR="00E929FF" w:rsidRPr="00487F53">
        <w:rPr>
          <w:rFonts w:ascii="Source Serif Pro" w:hAnsi="Source Serif Pro"/>
        </w:rPr>
        <w:t xml:space="preserve">EMF </w:t>
      </w:r>
      <w:r w:rsidR="009F121C" w:rsidRPr="00487F53">
        <w:rPr>
          <w:rFonts w:ascii="Source Serif Pro" w:hAnsi="Source Serif Pro"/>
        </w:rPr>
        <w:t>exposure</w:t>
      </w:r>
      <w:r w:rsidR="002C3677" w:rsidRPr="00487F53">
        <w:rPr>
          <w:rFonts w:ascii="Source Serif Pro" w:hAnsi="Source Serif Pro"/>
        </w:rPr>
        <w:t xml:space="preserve"> is</w:t>
      </w:r>
      <w:r w:rsidRPr="00487F53">
        <w:rPr>
          <w:rFonts w:ascii="Source Serif Pro" w:hAnsi="Source Serif Pro"/>
        </w:rPr>
        <w:t xml:space="preserve"> low: about 0.5 </w:t>
      </w:r>
      <w:proofErr w:type="spellStart"/>
      <w:r w:rsidRPr="00487F53">
        <w:rPr>
          <w:rFonts w:ascii="Source Serif Pro" w:hAnsi="Source Serif Pro"/>
        </w:rPr>
        <w:t>mG</w:t>
      </w:r>
      <w:proofErr w:type="spellEnd"/>
      <w:r w:rsidRPr="00487F53">
        <w:rPr>
          <w:rFonts w:ascii="Source Serif Pro" w:hAnsi="Source Serif Pro"/>
        </w:rPr>
        <w:t xml:space="preserve"> (</w:t>
      </w:r>
      <w:proofErr w:type="spellStart"/>
      <w:r w:rsidRPr="00487F53">
        <w:rPr>
          <w:rFonts w:ascii="Source Serif Pro" w:hAnsi="Source Serif Pro"/>
        </w:rPr>
        <w:t>milligauss</w:t>
      </w:r>
      <w:proofErr w:type="spellEnd"/>
      <w:r w:rsidRPr="00487F53">
        <w:rPr>
          <w:rFonts w:ascii="Source Serif Pro" w:hAnsi="Source Serif Pro"/>
        </w:rPr>
        <w:t xml:space="preserve"> – the unit used </w:t>
      </w:r>
      <w:r w:rsidR="009F121C" w:rsidRPr="00487F53">
        <w:rPr>
          <w:rFonts w:ascii="Source Serif Pro" w:hAnsi="Source Serif Pro"/>
        </w:rPr>
        <w:t>to measure EMF strength)</w:t>
      </w:r>
      <w:r w:rsidRPr="00487F53">
        <w:rPr>
          <w:rFonts w:ascii="Source Serif Pro" w:hAnsi="Source Serif Pro"/>
        </w:rPr>
        <w:t>.</w:t>
      </w:r>
      <w:r w:rsidRPr="00487F53">
        <w:rPr>
          <w:rStyle w:val="FootnoteReference"/>
          <w:rFonts w:ascii="Source Serif Pro" w:hAnsi="Source Serif Pro"/>
        </w:rPr>
        <w:footnoteReference w:id="7"/>
      </w:r>
      <w:r w:rsidRPr="00487F53">
        <w:rPr>
          <w:rFonts w:ascii="Source Serif Pro" w:hAnsi="Source Serif Pro"/>
        </w:rPr>
        <w:t xml:space="preserve"> In comparison, standing within four feet of your microwave while in use can result in up to 20 </w:t>
      </w:r>
      <w:proofErr w:type="spellStart"/>
      <w:r w:rsidRPr="00487F53">
        <w:rPr>
          <w:rFonts w:ascii="Source Serif Pro" w:hAnsi="Source Serif Pro"/>
        </w:rPr>
        <w:t>mG</w:t>
      </w:r>
      <w:proofErr w:type="spellEnd"/>
      <w:r w:rsidRPr="00487F53">
        <w:rPr>
          <w:rFonts w:ascii="Source Serif Pro" w:hAnsi="Source Serif Pro"/>
        </w:rPr>
        <w:t xml:space="preserve"> of EMF exposure.</w:t>
      </w:r>
      <w:r w:rsidRPr="00487F53">
        <w:rPr>
          <w:rStyle w:val="FootnoteReference"/>
          <w:rFonts w:ascii="Source Serif Pro" w:hAnsi="Source Serif Pro"/>
        </w:rPr>
        <w:footnoteReference w:id="8"/>
      </w:r>
      <w:bookmarkStart w:id="0" w:name="_GoBack"/>
      <w:bookmarkEnd w:id="0"/>
    </w:p>
    <w:sectPr w:rsidR="69287DC5" w:rsidRPr="00487F53" w:rsidSect="00F4473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7A81C" w14:textId="77777777" w:rsidR="00E327B6" w:rsidRDefault="00E327B6">
      <w:pPr>
        <w:spacing w:after="0" w:line="240" w:lineRule="auto"/>
      </w:pPr>
      <w:r>
        <w:separator/>
      </w:r>
    </w:p>
  </w:endnote>
  <w:endnote w:type="continuationSeparator" w:id="0">
    <w:p w14:paraId="3539B84C" w14:textId="77777777" w:rsidR="00E327B6" w:rsidRDefault="00E32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Medium">
    <w:charset w:val="00"/>
    <w:family w:val="auto"/>
    <w:pitch w:val="variable"/>
    <w:sig w:usb0="E00002FF" w:usb1="1200A1FF" w:usb2="00000001" w:usb3="00000000" w:csb0="0000019F" w:csb1="00000000"/>
  </w:font>
  <w:font w:name="Inter Black">
    <w:charset w:val="00"/>
    <w:family w:val="auto"/>
    <w:pitch w:val="variable"/>
    <w:sig w:usb0="E00002FF" w:usb1="1200A1FF" w:usb2="00000001" w:usb3="00000000" w:csb0="0000019F" w:csb1="00000000"/>
  </w:font>
  <w:font w:name="Source Serif Pro">
    <w:charset w:val="00"/>
    <w:family w:val="roman"/>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F8CE9" w14:textId="77777777" w:rsidR="00E327B6" w:rsidRDefault="00E327B6">
      <w:pPr>
        <w:spacing w:after="0" w:line="240" w:lineRule="auto"/>
      </w:pPr>
      <w:r>
        <w:separator/>
      </w:r>
    </w:p>
  </w:footnote>
  <w:footnote w:type="continuationSeparator" w:id="0">
    <w:p w14:paraId="4688FEE7" w14:textId="77777777" w:rsidR="00E327B6" w:rsidRDefault="00E327B6">
      <w:pPr>
        <w:spacing w:after="0" w:line="240" w:lineRule="auto"/>
      </w:pPr>
      <w:r>
        <w:continuationSeparator/>
      </w:r>
    </w:p>
  </w:footnote>
  <w:footnote w:id="1">
    <w:p w14:paraId="416DD849" w14:textId="6F7ADB51" w:rsidR="0099789C" w:rsidRPr="00A82704" w:rsidRDefault="0099789C">
      <w:pPr>
        <w:pStyle w:val="FootnoteText"/>
        <w:rPr>
          <w:sz w:val="18"/>
        </w:rPr>
      </w:pPr>
      <w:r w:rsidRPr="00A82704">
        <w:rPr>
          <w:rStyle w:val="FootnoteReference"/>
          <w:sz w:val="18"/>
        </w:rPr>
        <w:footnoteRef/>
      </w:r>
      <w:r w:rsidRPr="00A82704">
        <w:rPr>
          <w:sz w:val="18"/>
        </w:rPr>
        <w:t xml:space="preserve"> </w:t>
      </w:r>
      <w:r w:rsidRPr="00A82704">
        <w:rPr>
          <w:rFonts w:ascii="Calibri" w:hAnsi="Calibri" w:cs="Calibri"/>
          <w:sz w:val="16"/>
          <w:szCs w:val="18"/>
        </w:rPr>
        <w:t xml:space="preserve">“Questions &amp; Answers Ground-Mounted Solar Photovoltaic Systems.” Mass.gov, Massachusetts Department of Energy Resources, June 2015, </w:t>
      </w:r>
      <w:hyperlink r:id="rId1">
        <w:r w:rsidRPr="00A82704">
          <w:rPr>
            <w:rStyle w:val="Hyperlink"/>
            <w:rFonts w:ascii="Calibri" w:hAnsi="Calibri" w:cs="Calibri"/>
            <w:sz w:val="16"/>
            <w:szCs w:val="18"/>
          </w:rPr>
          <w:t>www.mass.gov/doc/ground-mounted-pv-guide/download</w:t>
        </w:r>
      </w:hyperlink>
      <w:r w:rsidRPr="00A82704">
        <w:rPr>
          <w:rFonts w:ascii="Calibri" w:hAnsi="Calibri" w:cs="Calibri"/>
          <w:sz w:val="16"/>
          <w:szCs w:val="18"/>
        </w:rPr>
        <w:t>.</w:t>
      </w:r>
    </w:p>
  </w:footnote>
  <w:footnote w:id="2">
    <w:p w14:paraId="03E5F317" w14:textId="77777777" w:rsidR="00F44737" w:rsidRPr="00A82704" w:rsidRDefault="00F44737" w:rsidP="00F44737">
      <w:pPr>
        <w:pStyle w:val="FootnoteText"/>
        <w:rPr>
          <w:rFonts w:ascii="Calibri" w:hAnsi="Calibri" w:cs="Calibri"/>
          <w:sz w:val="16"/>
          <w:szCs w:val="18"/>
        </w:rPr>
      </w:pPr>
      <w:r w:rsidRPr="00A82704">
        <w:rPr>
          <w:rStyle w:val="FootnoteReference"/>
          <w:rFonts w:ascii="Calibri" w:hAnsi="Calibri" w:cs="Calibri"/>
          <w:sz w:val="16"/>
          <w:szCs w:val="18"/>
        </w:rPr>
        <w:footnoteRef/>
      </w:r>
      <w:r w:rsidRPr="00A82704">
        <w:rPr>
          <w:rFonts w:ascii="Calibri" w:hAnsi="Calibri" w:cs="Calibri"/>
          <w:sz w:val="16"/>
          <w:szCs w:val="18"/>
        </w:rPr>
        <w:t xml:space="preserve"> “The Truth about Photovoltaic Panels and Glare.” Intermountain Wind &amp; Solar, </w:t>
      </w:r>
      <w:hyperlink r:id="rId2">
        <w:r w:rsidRPr="00A82704">
          <w:rPr>
            <w:rStyle w:val="Hyperlink"/>
            <w:rFonts w:ascii="Calibri" w:hAnsi="Calibri" w:cs="Calibri"/>
            <w:sz w:val="16"/>
            <w:szCs w:val="18"/>
          </w:rPr>
          <w:t>www.intermtnwindandsolar.com/the-truth-about-photovoltaic-panels-and-glare/</w:t>
        </w:r>
      </w:hyperlink>
      <w:r w:rsidRPr="00A82704">
        <w:rPr>
          <w:rFonts w:ascii="Calibri" w:hAnsi="Calibri" w:cs="Calibri"/>
          <w:sz w:val="16"/>
          <w:szCs w:val="18"/>
        </w:rPr>
        <w:t xml:space="preserve">. </w:t>
      </w:r>
    </w:p>
  </w:footnote>
  <w:footnote w:id="3">
    <w:p w14:paraId="27AB5E99" w14:textId="77777777" w:rsidR="00F44737" w:rsidRPr="00A82704" w:rsidRDefault="00F44737" w:rsidP="00F44737">
      <w:pPr>
        <w:pStyle w:val="NormalWeb"/>
        <w:spacing w:before="0" w:beforeAutospacing="0" w:after="0" w:afterAutospacing="0"/>
        <w:rPr>
          <w:rFonts w:ascii="Calibri" w:hAnsi="Calibri" w:cs="Calibri"/>
          <w:sz w:val="16"/>
          <w:szCs w:val="18"/>
        </w:rPr>
      </w:pPr>
      <w:r w:rsidRPr="00A82704">
        <w:rPr>
          <w:rStyle w:val="FootnoteReference"/>
          <w:rFonts w:ascii="Calibri" w:hAnsi="Calibri" w:cs="Calibri"/>
          <w:sz w:val="16"/>
          <w:szCs w:val="18"/>
        </w:rPr>
        <w:footnoteRef/>
      </w:r>
      <w:r w:rsidRPr="00A82704">
        <w:rPr>
          <w:rFonts w:ascii="Calibri" w:hAnsi="Calibri" w:cs="Calibri"/>
          <w:sz w:val="16"/>
          <w:szCs w:val="18"/>
        </w:rPr>
        <w:t xml:space="preserve"> </w:t>
      </w:r>
      <w:proofErr w:type="spellStart"/>
      <w:r w:rsidRPr="00A82704">
        <w:rPr>
          <w:rFonts w:ascii="Calibri" w:hAnsi="Calibri" w:cs="Calibri"/>
          <w:sz w:val="16"/>
          <w:szCs w:val="18"/>
        </w:rPr>
        <w:t>Kandt</w:t>
      </w:r>
      <w:proofErr w:type="spellEnd"/>
      <w:r w:rsidRPr="00A82704">
        <w:rPr>
          <w:rFonts w:ascii="Calibri" w:hAnsi="Calibri" w:cs="Calibri"/>
          <w:sz w:val="16"/>
          <w:szCs w:val="18"/>
        </w:rPr>
        <w:t xml:space="preserve">, A., and R. Romero. “Implementing Solar Technologies at Airports.” </w:t>
      </w:r>
      <w:r w:rsidRPr="00A82704">
        <w:rPr>
          <w:rFonts w:ascii="Calibri" w:hAnsi="Calibri" w:cs="Calibri"/>
          <w:i/>
          <w:iCs/>
          <w:sz w:val="16"/>
          <w:szCs w:val="18"/>
        </w:rPr>
        <w:t>Nrel.gov</w:t>
      </w:r>
      <w:r w:rsidRPr="00A82704">
        <w:rPr>
          <w:rFonts w:ascii="Calibri" w:hAnsi="Calibri" w:cs="Calibri"/>
          <w:sz w:val="16"/>
          <w:szCs w:val="18"/>
        </w:rPr>
        <w:t xml:space="preserve">, National Renewable Energy Laboratory, July 2014, </w:t>
      </w:r>
      <w:hyperlink r:id="rId3" w:history="1">
        <w:r w:rsidRPr="00A82704">
          <w:rPr>
            <w:rStyle w:val="Hyperlink"/>
            <w:rFonts w:ascii="Calibri" w:hAnsi="Calibri" w:cs="Calibri"/>
            <w:sz w:val="16"/>
            <w:szCs w:val="18"/>
          </w:rPr>
          <w:t>www.nrel.gov/docs/fy14osti/62349.pdf</w:t>
        </w:r>
      </w:hyperlink>
      <w:r w:rsidRPr="00A82704">
        <w:rPr>
          <w:rFonts w:ascii="Calibri" w:hAnsi="Calibri" w:cs="Calibri"/>
          <w:sz w:val="16"/>
          <w:szCs w:val="18"/>
        </w:rPr>
        <w:t xml:space="preserve">. </w:t>
      </w:r>
    </w:p>
  </w:footnote>
  <w:footnote w:id="4">
    <w:p w14:paraId="5216139E" w14:textId="77777777" w:rsidR="00A82704" w:rsidRPr="00A82704" w:rsidRDefault="00A82704" w:rsidP="00A82704">
      <w:pPr>
        <w:pStyle w:val="FootnoteText"/>
        <w:rPr>
          <w:rFonts w:ascii="Calibri" w:hAnsi="Calibri" w:cs="Calibri"/>
          <w:sz w:val="16"/>
          <w:szCs w:val="18"/>
        </w:rPr>
      </w:pPr>
      <w:r w:rsidRPr="00A82704">
        <w:rPr>
          <w:rStyle w:val="FootnoteReference"/>
          <w:rFonts w:ascii="Calibri" w:hAnsi="Calibri" w:cs="Calibri"/>
          <w:sz w:val="16"/>
          <w:szCs w:val="18"/>
        </w:rPr>
        <w:footnoteRef/>
      </w:r>
      <w:r w:rsidRPr="00A82704">
        <w:rPr>
          <w:rFonts w:ascii="Calibri" w:hAnsi="Calibri" w:cs="Calibri"/>
          <w:sz w:val="16"/>
          <w:szCs w:val="18"/>
        </w:rPr>
        <w:t xml:space="preserve"> “Solar Energy: </w:t>
      </w:r>
      <w:proofErr w:type="spellStart"/>
      <w:r w:rsidRPr="00A82704">
        <w:rPr>
          <w:rFonts w:ascii="Calibri" w:hAnsi="Calibri" w:cs="Calibri"/>
          <w:sz w:val="16"/>
          <w:szCs w:val="18"/>
        </w:rPr>
        <w:t>SolSmart's</w:t>
      </w:r>
      <w:proofErr w:type="spellEnd"/>
      <w:r w:rsidRPr="00A82704">
        <w:rPr>
          <w:rFonts w:ascii="Calibri" w:hAnsi="Calibri" w:cs="Calibri"/>
          <w:sz w:val="16"/>
          <w:szCs w:val="18"/>
        </w:rPr>
        <w:t xml:space="preserve"> Toolkit for Local Governments. Planning, Zoning, &amp; Development.” </w:t>
      </w:r>
      <w:proofErr w:type="spellStart"/>
      <w:r w:rsidRPr="00A82704">
        <w:rPr>
          <w:rFonts w:ascii="Calibri" w:hAnsi="Calibri" w:cs="Calibri"/>
          <w:sz w:val="16"/>
          <w:szCs w:val="18"/>
        </w:rPr>
        <w:t>SolSmart</w:t>
      </w:r>
      <w:proofErr w:type="spellEnd"/>
      <w:r w:rsidRPr="00A82704">
        <w:rPr>
          <w:rFonts w:ascii="Calibri" w:hAnsi="Calibri" w:cs="Calibri"/>
          <w:sz w:val="16"/>
          <w:szCs w:val="18"/>
        </w:rPr>
        <w:t xml:space="preserve">, U.S. Department of Energy Solar Energy Technologies Office, </w:t>
      </w:r>
      <w:hyperlink r:id="rId4">
        <w:r w:rsidRPr="00A82704">
          <w:rPr>
            <w:rStyle w:val="Hyperlink"/>
            <w:rFonts w:ascii="Calibri" w:hAnsi="Calibri" w:cs="Calibri"/>
            <w:sz w:val="16"/>
            <w:szCs w:val="18"/>
          </w:rPr>
          <w:t>https://solsmart.org/solar-energy-a-toolkit-for-local-governments/planning-zoning-development/</w:t>
        </w:r>
      </w:hyperlink>
      <w:r w:rsidRPr="00A82704">
        <w:rPr>
          <w:rFonts w:ascii="Calibri" w:hAnsi="Calibri" w:cs="Calibri"/>
          <w:sz w:val="16"/>
          <w:szCs w:val="18"/>
        </w:rPr>
        <w:t>.</w:t>
      </w:r>
    </w:p>
  </w:footnote>
  <w:footnote w:id="5">
    <w:p w14:paraId="44A93256" w14:textId="77777777" w:rsidR="002C3677" w:rsidRPr="00A82704" w:rsidRDefault="002C3677" w:rsidP="002C3677">
      <w:pPr>
        <w:spacing w:after="0"/>
        <w:rPr>
          <w:rFonts w:ascii="Calibri" w:hAnsi="Calibri" w:cs="Calibri"/>
          <w:sz w:val="16"/>
          <w:szCs w:val="18"/>
        </w:rPr>
      </w:pPr>
      <w:r w:rsidRPr="00A82704">
        <w:rPr>
          <w:rStyle w:val="FootnoteReference"/>
          <w:rFonts w:ascii="Calibri" w:hAnsi="Calibri" w:cs="Calibri"/>
          <w:sz w:val="16"/>
          <w:szCs w:val="18"/>
        </w:rPr>
        <w:footnoteRef/>
      </w:r>
      <w:r w:rsidRPr="00A82704">
        <w:rPr>
          <w:rFonts w:ascii="Calibri" w:hAnsi="Calibri" w:cs="Calibri"/>
          <w:sz w:val="16"/>
          <w:szCs w:val="18"/>
        </w:rPr>
        <w:t xml:space="preserve"> “Renewable Energy Ordinance Framework.” </w:t>
      </w:r>
      <w:r w:rsidRPr="00A82704">
        <w:rPr>
          <w:rFonts w:ascii="Calibri" w:hAnsi="Calibri" w:cs="Calibri"/>
          <w:i/>
          <w:iCs/>
          <w:sz w:val="16"/>
          <w:szCs w:val="18"/>
        </w:rPr>
        <w:t>Dvrpc.org</w:t>
      </w:r>
      <w:r w:rsidRPr="00A82704">
        <w:rPr>
          <w:rFonts w:ascii="Calibri" w:hAnsi="Calibri" w:cs="Calibri"/>
          <w:sz w:val="16"/>
          <w:szCs w:val="18"/>
        </w:rPr>
        <w:t xml:space="preserve">, Delaware Valley Regional Planning Commission, Feb. 2015, </w:t>
      </w:r>
      <w:hyperlink r:id="rId5" w:history="1">
        <w:r w:rsidRPr="00A82704">
          <w:rPr>
            <w:rStyle w:val="Hyperlink"/>
            <w:rFonts w:ascii="Calibri" w:hAnsi="Calibri" w:cs="Calibri"/>
            <w:sz w:val="16"/>
            <w:szCs w:val="18"/>
          </w:rPr>
          <w:t>www.dvrpc.org/EnergyClimate/ModelOrdinance/Solar/pdf/2016_DVRPC_Solar_REOF_Reformatted_Final.pdf</w:t>
        </w:r>
      </w:hyperlink>
      <w:r w:rsidRPr="00A82704">
        <w:rPr>
          <w:rFonts w:ascii="Calibri" w:hAnsi="Calibri" w:cs="Calibri"/>
          <w:sz w:val="16"/>
          <w:szCs w:val="18"/>
        </w:rPr>
        <w:t xml:space="preserve">. </w:t>
      </w:r>
    </w:p>
  </w:footnote>
  <w:footnote w:id="6">
    <w:p w14:paraId="6C722ADB" w14:textId="1A0B3873" w:rsidR="16998460" w:rsidRPr="00A82704" w:rsidRDefault="16998460" w:rsidP="16998460">
      <w:pPr>
        <w:pStyle w:val="FootnoteText"/>
        <w:rPr>
          <w:sz w:val="16"/>
          <w:szCs w:val="18"/>
        </w:rPr>
      </w:pPr>
      <w:r w:rsidRPr="00A82704">
        <w:rPr>
          <w:rStyle w:val="FootnoteReference"/>
          <w:rFonts w:ascii="Calibri" w:hAnsi="Calibri" w:cs="Calibri"/>
          <w:sz w:val="16"/>
          <w:szCs w:val="18"/>
        </w:rPr>
        <w:footnoteRef/>
      </w:r>
      <w:r w:rsidRPr="00A82704">
        <w:rPr>
          <w:rFonts w:ascii="Calibri" w:hAnsi="Calibri" w:cs="Calibri"/>
          <w:sz w:val="16"/>
          <w:szCs w:val="18"/>
        </w:rPr>
        <w:t xml:space="preserve"> “Radiation Studies - CDC: Non-Ionizing Radiation.” Centers for Disease Control and Prevention, 7 Dec. 2015, </w:t>
      </w:r>
      <w:hyperlink r:id="rId6">
        <w:r w:rsidRPr="00A82704">
          <w:rPr>
            <w:rStyle w:val="Hyperlink"/>
            <w:rFonts w:ascii="Calibri" w:hAnsi="Calibri" w:cs="Calibri"/>
            <w:sz w:val="16"/>
            <w:szCs w:val="18"/>
          </w:rPr>
          <w:t>www.cdc.gov/nceh/radiation/nonionizing_radiation.html</w:t>
        </w:r>
      </w:hyperlink>
      <w:r w:rsidRPr="00A82704">
        <w:rPr>
          <w:rFonts w:ascii="Calibri" w:hAnsi="Calibri" w:cs="Calibri"/>
          <w:sz w:val="16"/>
          <w:szCs w:val="18"/>
        </w:rPr>
        <w:t xml:space="preserve">. </w:t>
      </w:r>
    </w:p>
  </w:footnote>
  <w:footnote w:id="7">
    <w:p w14:paraId="6A18D0DF" w14:textId="28D0DE1D" w:rsidR="16998460" w:rsidRPr="00A82704" w:rsidRDefault="16998460" w:rsidP="16998460">
      <w:pPr>
        <w:pStyle w:val="FootnoteText"/>
        <w:rPr>
          <w:sz w:val="16"/>
          <w:szCs w:val="18"/>
        </w:rPr>
      </w:pPr>
      <w:r w:rsidRPr="00A82704">
        <w:rPr>
          <w:rStyle w:val="FootnoteReference"/>
          <w:sz w:val="16"/>
          <w:szCs w:val="18"/>
        </w:rPr>
        <w:footnoteRef/>
      </w:r>
      <w:r w:rsidRPr="00A82704">
        <w:rPr>
          <w:sz w:val="16"/>
          <w:szCs w:val="18"/>
        </w:rPr>
        <w:t xml:space="preserve"> </w:t>
      </w:r>
      <w:r w:rsidRPr="00A82704">
        <w:rPr>
          <w:i/>
          <w:iCs/>
          <w:sz w:val="16"/>
          <w:szCs w:val="18"/>
        </w:rPr>
        <w:t>Ibid</w:t>
      </w:r>
      <w:r w:rsidRPr="00A82704">
        <w:rPr>
          <w:sz w:val="16"/>
          <w:szCs w:val="18"/>
        </w:rPr>
        <w:t>. Footnote 1</w:t>
      </w:r>
    </w:p>
  </w:footnote>
  <w:footnote w:id="8">
    <w:p w14:paraId="4F13C8DE" w14:textId="536B6137" w:rsidR="16998460" w:rsidRPr="00A82704" w:rsidRDefault="16998460" w:rsidP="16998460">
      <w:pPr>
        <w:pStyle w:val="FootnoteText"/>
        <w:rPr>
          <w:i/>
          <w:iCs/>
          <w:sz w:val="16"/>
          <w:szCs w:val="18"/>
        </w:rPr>
      </w:pPr>
      <w:r w:rsidRPr="00A82704">
        <w:rPr>
          <w:rStyle w:val="FootnoteReference"/>
          <w:sz w:val="16"/>
          <w:szCs w:val="18"/>
        </w:rPr>
        <w:footnoteRef/>
      </w:r>
      <w:r w:rsidRPr="00A82704">
        <w:rPr>
          <w:rStyle w:val="FootnoteReference"/>
          <w:sz w:val="16"/>
          <w:szCs w:val="18"/>
          <w:vertAlign w:val="baseline"/>
        </w:rPr>
        <w:t xml:space="preserve">“Electric &amp; Magnetic Fields.” National Institute of Environmental Health Sciences, U.S. Department of Health and Human Services, 14 May 2020, </w:t>
      </w:r>
      <w:hyperlink r:id="rId7">
        <w:r w:rsidRPr="00A82704">
          <w:rPr>
            <w:rStyle w:val="Hyperlink"/>
            <w:sz w:val="16"/>
            <w:szCs w:val="18"/>
          </w:rPr>
          <w:t>www.niehs.nih.gov/health/topics/agents/emf/index.cfm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3B188" w14:textId="18031080" w:rsidR="00487F53" w:rsidRDefault="00487F53">
    <w:pPr>
      <w:pStyle w:val="Header"/>
    </w:pPr>
    <w:r>
      <w:rPr>
        <w:noProof/>
      </w:rPr>
      <w:drawing>
        <wp:inline distT="0" distB="0" distL="0" distR="0" wp14:anchorId="489CC562" wp14:editId="6BD41322">
          <wp:extent cx="1111250" cy="694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R Logo Turquoise.png"/>
                  <pic:cNvPicPr/>
                </pic:nvPicPr>
                <pic:blipFill>
                  <a:blip r:embed="rId1">
                    <a:extLst>
                      <a:ext uri="{28A0092B-C50C-407E-A947-70E740481C1C}">
                        <a14:useLocalDpi xmlns:a14="http://schemas.microsoft.com/office/drawing/2010/main" val="0"/>
                      </a:ext>
                    </a:extLst>
                  </a:blip>
                  <a:stretch>
                    <a:fillRect/>
                  </a:stretch>
                </pic:blipFill>
                <pic:spPr>
                  <a:xfrm>
                    <a:off x="0" y="0"/>
                    <a:ext cx="1114547" cy="6965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05BEC7"/>
    <w:rsid w:val="001912B5"/>
    <w:rsid w:val="002C3677"/>
    <w:rsid w:val="00486B83"/>
    <w:rsid w:val="00487F53"/>
    <w:rsid w:val="004F4667"/>
    <w:rsid w:val="004F4B4F"/>
    <w:rsid w:val="007A1E13"/>
    <w:rsid w:val="00824054"/>
    <w:rsid w:val="00826B6E"/>
    <w:rsid w:val="008B795D"/>
    <w:rsid w:val="0099789C"/>
    <w:rsid w:val="009F121C"/>
    <w:rsid w:val="009F2730"/>
    <w:rsid w:val="00A82704"/>
    <w:rsid w:val="00AD7C0C"/>
    <w:rsid w:val="00B13E78"/>
    <w:rsid w:val="00B915A8"/>
    <w:rsid w:val="00C1769A"/>
    <w:rsid w:val="00D15BCE"/>
    <w:rsid w:val="00DF6F38"/>
    <w:rsid w:val="00E327B6"/>
    <w:rsid w:val="00E929FF"/>
    <w:rsid w:val="00F14A7A"/>
    <w:rsid w:val="00F44737"/>
    <w:rsid w:val="00F473F7"/>
    <w:rsid w:val="00F56CD6"/>
    <w:rsid w:val="00F71C4D"/>
    <w:rsid w:val="02889B10"/>
    <w:rsid w:val="037B95DC"/>
    <w:rsid w:val="053ED0AD"/>
    <w:rsid w:val="07013DA1"/>
    <w:rsid w:val="07656C6B"/>
    <w:rsid w:val="07683E46"/>
    <w:rsid w:val="0B0C23E6"/>
    <w:rsid w:val="0EA96BD8"/>
    <w:rsid w:val="103198EA"/>
    <w:rsid w:val="11FC471F"/>
    <w:rsid w:val="12A30BB3"/>
    <w:rsid w:val="1405BEC7"/>
    <w:rsid w:val="15DAE9DE"/>
    <w:rsid w:val="16998460"/>
    <w:rsid w:val="18564947"/>
    <w:rsid w:val="1B0C5742"/>
    <w:rsid w:val="1B6EC683"/>
    <w:rsid w:val="1B755248"/>
    <w:rsid w:val="1D8E9075"/>
    <w:rsid w:val="1F43C5A1"/>
    <w:rsid w:val="1F923CB2"/>
    <w:rsid w:val="20E29A71"/>
    <w:rsid w:val="21AC636E"/>
    <w:rsid w:val="23215166"/>
    <w:rsid w:val="236E1119"/>
    <w:rsid w:val="25314BEA"/>
    <w:rsid w:val="25B30725"/>
    <w:rsid w:val="26F54129"/>
    <w:rsid w:val="31A0D4F9"/>
    <w:rsid w:val="33F53DC0"/>
    <w:rsid w:val="34A67535"/>
    <w:rsid w:val="37195A73"/>
    <w:rsid w:val="3AA0BF5F"/>
    <w:rsid w:val="3AD9D84C"/>
    <w:rsid w:val="3EF198B2"/>
    <w:rsid w:val="41510756"/>
    <w:rsid w:val="42BA097F"/>
    <w:rsid w:val="44E07F9A"/>
    <w:rsid w:val="49497CA3"/>
    <w:rsid w:val="4A47EEA8"/>
    <w:rsid w:val="4B8079AE"/>
    <w:rsid w:val="4C93B9FD"/>
    <w:rsid w:val="4ECCE8BA"/>
    <w:rsid w:val="4F9E8F13"/>
    <w:rsid w:val="5204897C"/>
    <w:rsid w:val="54CFF749"/>
    <w:rsid w:val="5547A29E"/>
    <w:rsid w:val="592EC99C"/>
    <w:rsid w:val="5BAC5FE6"/>
    <w:rsid w:val="5F623FBD"/>
    <w:rsid w:val="615870C4"/>
    <w:rsid w:val="63F3B9E1"/>
    <w:rsid w:val="645332DF"/>
    <w:rsid w:val="65073C4D"/>
    <w:rsid w:val="657490E5"/>
    <w:rsid w:val="69287DC5"/>
    <w:rsid w:val="69A74AA8"/>
    <w:rsid w:val="6A505ECD"/>
    <w:rsid w:val="6BD2001A"/>
    <w:rsid w:val="6C6ECAFA"/>
    <w:rsid w:val="6F145B81"/>
    <w:rsid w:val="701F2BC1"/>
    <w:rsid w:val="71BCBC9B"/>
    <w:rsid w:val="730B6BA6"/>
    <w:rsid w:val="74E47841"/>
    <w:rsid w:val="766F9AAB"/>
    <w:rsid w:val="77633565"/>
    <w:rsid w:val="782653BC"/>
    <w:rsid w:val="79B1F0CA"/>
    <w:rsid w:val="79D111C1"/>
    <w:rsid w:val="7C01E3B9"/>
    <w:rsid w:val="7D9F851A"/>
    <w:rsid w:val="7F3B557B"/>
    <w:rsid w:val="7F8B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5BEC7"/>
  <w15:chartTrackingRefBased/>
  <w15:docId w15:val="{44941A7F-75D9-463A-B14E-81871662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CommentReference">
    <w:name w:val="annotation reference"/>
    <w:basedOn w:val="DefaultParagraphFont"/>
    <w:uiPriority w:val="99"/>
    <w:semiHidden/>
    <w:unhideWhenUsed/>
    <w:rsid w:val="00824054"/>
    <w:rPr>
      <w:sz w:val="16"/>
      <w:szCs w:val="16"/>
    </w:rPr>
  </w:style>
  <w:style w:type="paragraph" w:styleId="CommentText">
    <w:name w:val="annotation text"/>
    <w:basedOn w:val="Normal"/>
    <w:link w:val="CommentTextChar"/>
    <w:uiPriority w:val="99"/>
    <w:semiHidden/>
    <w:unhideWhenUsed/>
    <w:rsid w:val="00824054"/>
    <w:pPr>
      <w:spacing w:line="240" w:lineRule="auto"/>
    </w:pPr>
    <w:rPr>
      <w:sz w:val="20"/>
      <w:szCs w:val="20"/>
    </w:rPr>
  </w:style>
  <w:style w:type="character" w:customStyle="1" w:styleId="CommentTextChar">
    <w:name w:val="Comment Text Char"/>
    <w:basedOn w:val="DefaultParagraphFont"/>
    <w:link w:val="CommentText"/>
    <w:uiPriority w:val="99"/>
    <w:semiHidden/>
    <w:rsid w:val="00824054"/>
    <w:rPr>
      <w:sz w:val="20"/>
      <w:szCs w:val="20"/>
    </w:rPr>
  </w:style>
  <w:style w:type="paragraph" w:styleId="CommentSubject">
    <w:name w:val="annotation subject"/>
    <w:basedOn w:val="CommentText"/>
    <w:next w:val="CommentText"/>
    <w:link w:val="CommentSubjectChar"/>
    <w:uiPriority w:val="99"/>
    <w:semiHidden/>
    <w:unhideWhenUsed/>
    <w:rsid w:val="00824054"/>
    <w:rPr>
      <w:b/>
      <w:bCs/>
    </w:rPr>
  </w:style>
  <w:style w:type="character" w:customStyle="1" w:styleId="CommentSubjectChar">
    <w:name w:val="Comment Subject Char"/>
    <w:basedOn w:val="CommentTextChar"/>
    <w:link w:val="CommentSubject"/>
    <w:uiPriority w:val="99"/>
    <w:semiHidden/>
    <w:rsid w:val="00824054"/>
    <w:rPr>
      <w:b/>
      <w:bCs/>
      <w:sz w:val="20"/>
      <w:szCs w:val="20"/>
    </w:rPr>
  </w:style>
  <w:style w:type="paragraph" w:styleId="BalloonText">
    <w:name w:val="Balloon Text"/>
    <w:basedOn w:val="Normal"/>
    <w:link w:val="BalloonTextChar"/>
    <w:uiPriority w:val="99"/>
    <w:semiHidden/>
    <w:unhideWhenUsed/>
    <w:rsid w:val="00824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54"/>
    <w:rPr>
      <w:rFonts w:ascii="Segoe UI" w:hAnsi="Segoe UI" w:cs="Segoe UI"/>
      <w:sz w:val="18"/>
      <w:szCs w:val="18"/>
    </w:rPr>
  </w:style>
  <w:style w:type="paragraph" w:styleId="NormalWeb">
    <w:name w:val="Normal (Web)"/>
    <w:basedOn w:val="Normal"/>
    <w:uiPriority w:val="99"/>
    <w:unhideWhenUsed/>
    <w:rsid w:val="002C36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4737"/>
    <w:rPr>
      <w:color w:val="954F72" w:themeColor="followedHyperlink"/>
      <w:u w:val="single"/>
    </w:rPr>
  </w:style>
  <w:style w:type="paragraph" w:styleId="Header">
    <w:name w:val="header"/>
    <w:basedOn w:val="Normal"/>
    <w:link w:val="HeaderChar"/>
    <w:uiPriority w:val="99"/>
    <w:unhideWhenUsed/>
    <w:rsid w:val="0048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F53"/>
  </w:style>
  <w:style w:type="paragraph" w:styleId="Footer">
    <w:name w:val="footer"/>
    <w:basedOn w:val="Normal"/>
    <w:link w:val="FooterChar"/>
    <w:uiPriority w:val="99"/>
    <w:unhideWhenUsed/>
    <w:rsid w:val="0048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53"/>
  </w:style>
  <w:style w:type="paragraph" w:customStyle="1" w:styleId="MRRSubheader">
    <w:name w:val="MRR Subheader"/>
    <w:basedOn w:val="Heading2"/>
    <w:link w:val="MRRSubheaderChar"/>
    <w:qFormat/>
    <w:rsid w:val="00487F53"/>
    <w:pPr>
      <w:spacing w:line="240" w:lineRule="auto"/>
    </w:pPr>
    <w:rPr>
      <w:rFonts w:ascii="Inter Medium" w:hAnsi="Inter Medium"/>
      <w:color w:val="04848E"/>
    </w:rPr>
  </w:style>
  <w:style w:type="character" w:customStyle="1" w:styleId="MRRSubheaderChar">
    <w:name w:val="MRR Subheader Char"/>
    <w:basedOn w:val="Heading2Char"/>
    <w:link w:val="MRRSubheader"/>
    <w:rsid w:val="00487F53"/>
    <w:rPr>
      <w:rFonts w:ascii="Inter Medium" w:eastAsiaTheme="majorEastAsia" w:hAnsi="Inter Medium" w:cstheme="majorBidi"/>
      <w:color w:val="04848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6298">
      <w:bodyDiv w:val="1"/>
      <w:marLeft w:val="0"/>
      <w:marRight w:val="0"/>
      <w:marTop w:val="0"/>
      <w:marBottom w:val="0"/>
      <w:divBdr>
        <w:top w:val="none" w:sz="0" w:space="0" w:color="auto"/>
        <w:left w:val="none" w:sz="0" w:space="0" w:color="auto"/>
        <w:bottom w:val="none" w:sz="0" w:space="0" w:color="auto"/>
        <w:right w:val="none" w:sz="0" w:space="0" w:color="auto"/>
      </w:divBdr>
    </w:div>
    <w:div w:id="1185510669">
      <w:bodyDiv w:val="1"/>
      <w:marLeft w:val="0"/>
      <w:marRight w:val="0"/>
      <w:marTop w:val="0"/>
      <w:marBottom w:val="0"/>
      <w:divBdr>
        <w:top w:val="none" w:sz="0" w:space="0" w:color="auto"/>
        <w:left w:val="none" w:sz="0" w:space="0" w:color="auto"/>
        <w:bottom w:val="none" w:sz="0" w:space="0" w:color="auto"/>
        <w:right w:val="none" w:sz="0" w:space="0" w:color="auto"/>
      </w:divBdr>
    </w:div>
    <w:div w:id="2048991130">
      <w:bodyDiv w:val="1"/>
      <w:marLeft w:val="0"/>
      <w:marRight w:val="0"/>
      <w:marTop w:val="0"/>
      <w:marBottom w:val="0"/>
      <w:divBdr>
        <w:top w:val="none" w:sz="0" w:space="0" w:color="auto"/>
        <w:left w:val="none" w:sz="0" w:space="0" w:color="auto"/>
        <w:bottom w:val="none" w:sz="0" w:space="0" w:color="auto"/>
        <w:right w:val="none" w:sz="0" w:space="0" w:color="auto"/>
      </w:divBdr>
    </w:div>
    <w:div w:id="213012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rel.gov/docs/fy14osti/62349.pdf" TargetMode="External"/><Relationship Id="rId7" Type="http://schemas.openxmlformats.org/officeDocument/2006/relationships/hyperlink" Target="http://www.niehs.nih.gov/health/topics/agents/emf/index.cfm" TargetMode="External"/><Relationship Id="rId2" Type="http://schemas.openxmlformats.org/officeDocument/2006/relationships/hyperlink" Target="http://www.intermtnwindandsolar.com/the-truth-about-photovoltaic-panels-and-glare/" TargetMode="External"/><Relationship Id="rId1" Type="http://schemas.openxmlformats.org/officeDocument/2006/relationships/hyperlink" Target="http://www.mass.gov/doc/ground-mounted-pv-guide/download" TargetMode="External"/><Relationship Id="rId6" Type="http://schemas.openxmlformats.org/officeDocument/2006/relationships/hyperlink" Target="http://www.cdc.gov/nceh/radiation/nonionizing_radiation.html" TargetMode="External"/><Relationship Id="rId5" Type="http://schemas.openxmlformats.org/officeDocument/2006/relationships/hyperlink" Target="http://www.dvrpc.org/EnergyClimate/ModelOrdinance/Solar/pdf/2016_DVRPC_Solar_REOF_Reformatted_Final.pdf" TargetMode="External"/><Relationship Id="rId4" Type="http://schemas.openxmlformats.org/officeDocument/2006/relationships/hyperlink" Target="https://solsmart.org/solar-energy-a-toolkit-for-local-governments/planning-zoning-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4FC0-E207-499E-ACD8-75992A9A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Madelyn Smerillo</dc:creator>
  <cp:keywords/>
  <dc:description/>
  <cp:lastModifiedBy>Madelyn Smerillo</cp:lastModifiedBy>
  <cp:revision>2</cp:revision>
  <dcterms:created xsi:type="dcterms:W3CDTF">2022-04-22T17:49:00Z</dcterms:created>
  <dcterms:modified xsi:type="dcterms:W3CDTF">2022-04-22T17:49:00Z</dcterms:modified>
</cp:coreProperties>
</file>