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78E63" w14:textId="472EF5AF" w:rsidR="00584B8D" w:rsidRPr="00B34B35" w:rsidRDefault="19DB3F1A" w:rsidP="00FE0664">
      <w:pPr>
        <w:pStyle w:val="Heading1"/>
        <w:spacing w:line="240" w:lineRule="auto"/>
        <w:rPr>
          <w:rFonts w:ascii="Inter Black" w:hAnsi="Inter Black"/>
          <w:color w:val="023C40"/>
        </w:rPr>
      </w:pPr>
      <w:r w:rsidRPr="00B34B35">
        <w:rPr>
          <w:rFonts w:ascii="Inter Black" w:hAnsi="Inter Black"/>
          <w:color w:val="023C40"/>
        </w:rPr>
        <w:t>Solar and Property Values</w:t>
      </w:r>
    </w:p>
    <w:p w14:paraId="73D957A9" w14:textId="08EAE611" w:rsidR="19DB3F1A" w:rsidRPr="00B34B35" w:rsidRDefault="19DB3F1A" w:rsidP="00FE0664">
      <w:pPr>
        <w:pStyle w:val="Heading2"/>
        <w:spacing w:line="240" w:lineRule="auto"/>
        <w:rPr>
          <w:rFonts w:ascii="Inter Medium" w:hAnsi="Inter Medium"/>
        </w:rPr>
      </w:pPr>
      <w:r w:rsidRPr="00B34B35">
        <w:rPr>
          <w:rFonts w:ascii="Inter Medium" w:hAnsi="Inter Medium"/>
          <w:color w:val="04848E"/>
        </w:rPr>
        <w:t>Does utility-scale solar decrease property values?</w:t>
      </w:r>
    </w:p>
    <w:p w14:paraId="46647A5D" w14:textId="5DF0DC91" w:rsidR="6DD4A85A" w:rsidRPr="00B34B35" w:rsidRDefault="00B773D4" w:rsidP="00FE0664">
      <w:pPr>
        <w:spacing w:line="240" w:lineRule="auto"/>
        <w:rPr>
          <w:rFonts w:ascii="Source Serif Pro" w:hAnsi="Source Serif Pro"/>
        </w:rPr>
      </w:pPr>
      <w:r w:rsidRPr="00B34B35">
        <w:rPr>
          <w:rFonts w:ascii="Source Serif Pro" w:hAnsi="Source Serif Pro"/>
        </w:rPr>
        <w:t>Large solar projects often have no negative impact on property values. In some cases, they may even have tangible positive effects. </w:t>
      </w:r>
      <w:r w:rsidR="00802BCB" w:rsidRPr="00B34B35">
        <w:rPr>
          <w:rFonts w:ascii="Source Serif Pro" w:hAnsi="Source Serif Pro"/>
        </w:rPr>
        <w:t>Proximity to solar farms does not negatively impact the sales of agricultural or residential land or deter its purchase.</w:t>
      </w:r>
      <w:r w:rsidRPr="00B34B35">
        <w:rPr>
          <w:rStyle w:val="FootnoteReference"/>
          <w:rFonts w:ascii="Source Serif Pro" w:hAnsi="Source Serif Pro"/>
        </w:rPr>
        <w:footnoteReference w:id="1"/>
      </w:r>
      <w:r w:rsidRPr="00B34B35">
        <w:rPr>
          <w:rFonts w:ascii="Source Serif Pro" w:hAnsi="Source Serif Pro"/>
        </w:rPr>
        <w:t xml:space="preserve"> </w:t>
      </w:r>
      <w:r w:rsidR="00802BCB" w:rsidRPr="00B34B35">
        <w:rPr>
          <w:rFonts w:ascii="Source Serif Pro" w:hAnsi="Source Serif Pro"/>
        </w:rPr>
        <w:t>On residential properties, installation of rooftop solar panels can drive the value of a home up to 4.1% higher than it would have been without the project.</w:t>
      </w:r>
      <w:r w:rsidRPr="00B34B35">
        <w:rPr>
          <w:rStyle w:val="FootnoteReference"/>
          <w:rFonts w:ascii="Source Serif Pro" w:hAnsi="Source Serif Pro"/>
        </w:rPr>
        <w:footnoteReference w:id="2"/>
      </w:r>
    </w:p>
    <w:p w14:paraId="6F64492E" w14:textId="39382570" w:rsidR="19DB3F1A" w:rsidRPr="00B34B35" w:rsidRDefault="19DB3F1A" w:rsidP="00FE0664">
      <w:pPr>
        <w:pStyle w:val="Heading2"/>
        <w:spacing w:line="240" w:lineRule="auto"/>
        <w:rPr>
          <w:rFonts w:ascii="Inter Medium" w:hAnsi="Inter Medium"/>
        </w:rPr>
      </w:pPr>
      <w:r w:rsidRPr="00B34B35">
        <w:rPr>
          <w:rFonts w:ascii="Inter Medium" w:hAnsi="Inter Medium"/>
          <w:color w:val="04848E"/>
        </w:rPr>
        <w:t>What is a property value guarantee?</w:t>
      </w:r>
    </w:p>
    <w:p w14:paraId="13DE2409" w14:textId="44FE4B7C" w:rsidR="6DD4A85A" w:rsidRPr="00B34B35" w:rsidRDefault="48F8C309" w:rsidP="00FE0664">
      <w:pPr>
        <w:spacing w:line="240" w:lineRule="auto"/>
        <w:rPr>
          <w:rFonts w:ascii="Source Serif Pro" w:hAnsi="Source Serif Pro"/>
        </w:rPr>
      </w:pPr>
      <w:r w:rsidRPr="00B34B35">
        <w:rPr>
          <w:rFonts w:ascii="Source Serif Pro" w:hAnsi="Source Serif Pro"/>
        </w:rPr>
        <w:t>Property value guarantees require developers to pay a landowner the difference between their anticipated property value without a solar farm and the resulting property value with one in place when they sell the</w:t>
      </w:r>
      <w:r w:rsidR="749A4A6C" w:rsidRPr="00B34B35">
        <w:rPr>
          <w:rFonts w:ascii="Source Serif Pro" w:hAnsi="Source Serif Pro"/>
        </w:rPr>
        <w:t>ir land</w:t>
      </w:r>
      <w:r w:rsidRPr="00B34B35">
        <w:rPr>
          <w:rFonts w:ascii="Source Serif Pro" w:hAnsi="Source Serif Pro"/>
        </w:rPr>
        <w:t xml:space="preserve">. This </w:t>
      </w:r>
      <w:r w:rsidR="3F6B0920" w:rsidRPr="00B34B35">
        <w:rPr>
          <w:rFonts w:ascii="Source Serif Pro" w:hAnsi="Source Serif Pro"/>
        </w:rPr>
        <w:t xml:space="preserve">is meant to ensure that landowners do not lose money on their </w:t>
      </w:r>
      <w:r w:rsidR="242281F3" w:rsidRPr="00B34B35">
        <w:rPr>
          <w:rFonts w:ascii="Source Serif Pro" w:hAnsi="Source Serif Pro"/>
        </w:rPr>
        <w:t xml:space="preserve">property </w:t>
      </w:r>
      <w:r w:rsidR="3F6B0920" w:rsidRPr="00B34B35">
        <w:rPr>
          <w:rFonts w:ascii="Source Serif Pro" w:hAnsi="Source Serif Pro"/>
        </w:rPr>
        <w:t>as a result of a solar development, but creates an unnecessary obstacle and sets an overly-regulatory precedent because solar farms do not lower property values.</w:t>
      </w:r>
      <w:r w:rsidR="6DD4A85A" w:rsidRPr="00B34B35">
        <w:rPr>
          <w:rStyle w:val="FootnoteReference"/>
          <w:rFonts w:ascii="Source Serif Pro" w:hAnsi="Source Serif Pro"/>
        </w:rPr>
        <w:footnoteReference w:id="3"/>
      </w:r>
      <w:bookmarkStart w:id="0" w:name="_GoBack"/>
      <w:bookmarkEnd w:id="0"/>
    </w:p>
    <w:sectPr w:rsidR="6DD4A85A" w:rsidRPr="00B34B35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2DDC7F" w14:textId="77777777" w:rsidR="00FF2342" w:rsidRDefault="00FF2342" w:rsidP="00B773D4">
      <w:pPr>
        <w:spacing w:after="0" w:line="240" w:lineRule="auto"/>
      </w:pPr>
      <w:r>
        <w:separator/>
      </w:r>
    </w:p>
  </w:endnote>
  <w:endnote w:type="continuationSeparator" w:id="0">
    <w:p w14:paraId="3E000B02" w14:textId="77777777" w:rsidR="00FF2342" w:rsidRDefault="00FF2342" w:rsidP="00B77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nter Black">
    <w:charset w:val="00"/>
    <w:family w:val="auto"/>
    <w:pitch w:val="variable"/>
    <w:sig w:usb0="E00002FF" w:usb1="1200A1FF" w:usb2="00000001" w:usb3="00000000" w:csb0="0000019F" w:csb1="00000000"/>
  </w:font>
  <w:font w:name="Inter Medium">
    <w:charset w:val="00"/>
    <w:family w:val="auto"/>
    <w:pitch w:val="variable"/>
    <w:sig w:usb0="E00002FF" w:usb1="1200A1FF" w:usb2="00000001" w:usb3="00000000" w:csb0="0000019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EB92AC" w14:textId="77777777" w:rsidR="00FF2342" w:rsidRDefault="00FF2342" w:rsidP="00B773D4">
      <w:pPr>
        <w:spacing w:after="0" w:line="240" w:lineRule="auto"/>
      </w:pPr>
      <w:r>
        <w:separator/>
      </w:r>
    </w:p>
  </w:footnote>
  <w:footnote w:type="continuationSeparator" w:id="0">
    <w:p w14:paraId="720B8A8C" w14:textId="77777777" w:rsidR="00FF2342" w:rsidRDefault="00FF2342" w:rsidP="00B773D4">
      <w:pPr>
        <w:spacing w:after="0" w:line="240" w:lineRule="auto"/>
      </w:pPr>
      <w:r>
        <w:continuationSeparator/>
      </w:r>
    </w:p>
  </w:footnote>
  <w:footnote w:id="1">
    <w:p w14:paraId="65F0E709" w14:textId="241893F5" w:rsidR="00B773D4" w:rsidRPr="00B773D4" w:rsidRDefault="00B773D4">
      <w:pPr>
        <w:pStyle w:val="FootnoteText"/>
        <w:rPr>
          <w:sz w:val="18"/>
          <w:szCs w:val="18"/>
        </w:rPr>
      </w:pPr>
      <w:r w:rsidRPr="00B773D4">
        <w:rPr>
          <w:rStyle w:val="FootnoteReference"/>
          <w:sz w:val="18"/>
          <w:szCs w:val="18"/>
        </w:rPr>
        <w:footnoteRef/>
      </w:r>
      <w:r w:rsidRPr="00B773D4">
        <w:rPr>
          <w:sz w:val="18"/>
          <w:szCs w:val="18"/>
        </w:rPr>
        <w:t xml:space="preserve"> “Solar &amp; Property Value.” </w:t>
      </w:r>
      <w:r w:rsidRPr="00B773D4">
        <w:rPr>
          <w:i/>
          <w:iCs/>
          <w:sz w:val="18"/>
          <w:szCs w:val="18"/>
        </w:rPr>
        <w:t>SEIA - Solar Energy Industries Association</w:t>
      </w:r>
      <w:r w:rsidRPr="00B773D4">
        <w:rPr>
          <w:sz w:val="18"/>
          <w:szCs w:val="18"/>
        </w:rPr>
        <w:t xml:space="preserve">, July 2019, </w:t>
      </w:r>
      <w:hyperlink r:id="rId1" w:history="1">
        <w:r w:rsidRPr="00B773D4">
          <w:rPr>
            <w:rStyle w:val="Hyperlink"/>
            <w:sz w:val="18"/>
            <w:szCs w:val="18"/>
          </w:rPr>
          <w:t>www.seia.org/research-resources/solar-property-value</w:t>
        </w:r>
      </w:hyperlink>
    </w:p>
  </w:footnote>
  <w:footnote w:id="2">
    <w:p w14:paraId="7C4A9A36" w14:textId="26160BE3" w:rsidR="00B773D4" w:rsidRDefault="00B773D4">
      <w:pPr>
        <w:pStyle w:val="FootnoteText"/>
      </w:pPr>
      <w:r w:rsidRPr="00B773D4">
        <w:rPr>
          <w:rStyle w:val="FootnoteReference"/>
          <w:sz w:val="18"/>
          <w:szCs w:val="18"/>
        </w:rPr>
        <w:footnoteRef/>
      </w:r>
      <w:r w:rsidRPr="00B773D4">
        <w:rPr>
          <w:sz w:val="18"/>
          <w:szCs w:val="18"/>
        </w:rPr>
        <w:t xml:space="preserve"> </w:t>
      </w:r>
      <w:proofErr w:type="spellStart"/>
      <w:r w:rsidRPr="00B773D4">
        <w:rPr>
          <w:sz w:val="18"/>
          <w:szCs w:val="18"/>
        </w:rPr>
        <w:t>Mikhitarian</w:t>
      </w:r>
      <w:proofErr w:type="spellEnd"/>
      <w:r w:rsidRPr="00B773D4">
        <w:rPr>
          <w:sz w:val="18"/>
          <w:szCs w:val="18"/>
        </w:rPr>
        <w:t xml:space="preserve">, Sarah. “Homes With Solar Panels Sell for 4.1% More.” Zillow Research, Zillow, 16 Apr. 2019, </w:t>
      </w:r>
      <w:hyperlink r:id="rId2" w:history="1">
        <w:r w:rsidRPr="00B773D4">
          <w:rPr>
            <w:rStyle w:val="Hyperlink"/>
            <w:sz w:val="18"/>
            <w:szCs w:val="18"/>
          </w:rPr>
          <w:t>www.zillow.com/research/solar-panels-house-sell-more-23798/</w:t>
        </w:r>
      </w:hyperlink>
      <w:r>
        <w:t xml:space="preserve"> </w:t>
      </w:r>
    </w:p>
  </w:footnote>
  <w:footnote w:id="3">
    <w:p w14:paraId="5ED2A526" w14:textId="14811D16" w:rsidR="00FE0664" w:rsidRDefault="00FE0664" w:rsidP="00FE0664">
      <w:pPr>
        <w:pStyle w:val="FootnoteText"/>
      </w:pPr>
      <w:r w:rsidRPr="00FE0664">
        <w:rPr>
          <w:rStyle w:val="FootnoteReference"/>
        </w:rPr>
        <w:footnoteRef/>
      </w:r>
      <w:r w:rsidRPr="00FE0664">
        <w:t xml:space="preserve"> </w:t>
      </w:r>
      <w:r w:rsidRPr="00FE0664">
        <w:rPr>
          <w:i/>
          <w:iCs/>
        </w:rPr>
        <w:t xml:space="preserve">Ibid. </w:t>
      </w:r>
      <w:r w:rsidRPr="00FE0664">
        <w:t>Footnote 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324C9" w14:textId="77902924" w:rsidR="00B34B35" w:rsidRDefault="00B34B35">
    <w:pPr>
      <w:pStyle w:val="Header"/>
    </w:pPr>
    <w:r>
      <w:rPr>
        <w:noProof/>
      </w:rPr>
      <w:drawing>
        <wp:inline distT="0" distB="0" distL="0" distR="0" wp14:anchorId="70873D77" wp14:editId="2C9C4E4B">
          <wp:extent cx="1117600" cy="698500"/>
          <wp:effectExtent l="0" t="0" r="635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RR Logo Turquois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7698" cy="6985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75055"/>
    <w:multiLevelType w:val="hybridMultilevel"/>
    <w:tmpl w:val="340630EE"/>
    <w:lvl w:ilvl="0" w:tplc="962ED4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FA5B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9C40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7EE6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B444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68B0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B457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CC02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EE4F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B3063E5"/>
    <w:multiLevelType w:val="hybridMultilevel"/>
    <w:tmpl w:val="44526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ED74449"/>
    <w:rsid w:val="00584B8D"/>
    <w:rsid w:val="00802BCB"/>
    <w:rsid w:val="008E511E"/>
    <w:rsid w:val="00B34B35"/>
    <w:rsid w:val="00B773D4"/>
    <w:rsid w:val="00FE0664"/>
    <w:rsid w:val="00FF2342"/>
    <w:rsid w:val="19DB3F1A"/>
    <w:rsid w:val="221D3098"/>
    <w:rsid w:val="2222DD5B"/>
    <w:rsid w:val="242281F3"/>
    <w:rsid w:val="2468FBED"/>
    <w:rsid w:val="28519F23"/>
    <w:rsid w:val="2AD83D71"/>
    <w:rsid w:val="2C7D6183"/>
    <w:rsid w:val="2ED74449"/>
    <w:rsid w:val="2F7881CD"/>
    <w:rsid w:val="30D2986C"/>
    <w:rsid w:val="3D978EDD"/>
    <w:rsid w:val="3EA47A2D"/>
    <w:rsid w:val="3F6B0920"/>
    <w:rsid w:val="476943F2"/>
    <w:rsid w:val="48F8C309"/>
    <w:rsid w:val="4CEBA775"/>
    <w:rsid w:val="554E1B0D"/>
    <w:rsid w:val="59983D39"/>
    <w:rsid w:val="60077EBD"/>
    <w:rsid w:val="6CEDEF4B"/>
    <w:rsid w:val="6DD4A85A"/>
    <w:rsid w:val="7104AAF6"/>
    <w:rsid w:val="749A4A6C"/>
    <w:rsid w:val="7A1DB683"/>
    <w:rsid w:val="7E86B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D74449"/>
  <w15:chartTrackingRefBased/>
  <w15:docId w15:val="{77B925E3-BFCF-4AC5-900F-1FA0CA22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773D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773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73D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773D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77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773D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4B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B35"/>
  </w:style>
  <w:style w:type="paragraph" w:styleId="Footer">
    <w:name w:val="footer"/>
    <w:basedOn w:val="Normal"/>
    <w:link w:val="FooterChar"/>
    <w:uiPriority w:val="99"/>
    <w:unhideWhenUsed/>
    <w:rsid w:val="00B34B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B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2683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925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313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illow.com/research/solar-panels-house-sell-more-23798/" TargetMode="External"/><Relationship Id="rId1" Type="http://schemas.openxmlformats.org/officeDocument/2006/relationships/hyperlink" Target="http://www.seia.org/research-resources/solar-property-valu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Madelyn Smerillo</dc:creator>
  <cp:keywords/>
  <dc:description/>
  <cp:lastModifiedBy>Madelyn Smerillo</cp:lastModifiedBy>
  <cp:revision>2</cp:revision>
  <dcterms:created xsi:type="dcterms:W3CDTF">2022-04-22T18:08:00Z</dcterms:created>
  <dcterms:modified xsi:type="dcterms:W3CDTF">2022-04-22T18:08:00Z</dcterms:modified>
</cp:coreProperties>
</file>