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B83A4" w14:textId="640D83D0" w:rsidR="41089063" w:rsidRPr="009806F6" w:rsidRDefault="41089063" w:rsidP="7936548A">
      <w:pPr>
        <w:pStyle w:val="Heading1"/>
        <w:rPr>
          <w:rFonts w:ascii="Inter Black" w:hAnsi="Inter Black"/>
          <w:b/>
          <w:bCs/>
          <w:color w:val="023C40"/>
        </w:rPr>
      </w:pPr>
      <w:r w:rsidRPr="009806F6">
        <w:rPr>
          <w:rFonts w:ascii="Inter Black" w:hAnsi="Inter Black"/>
          <w:b/>
          <w:bCs/>
          <w:color w:val="023C40"/>
        </w:rPr>
        <w:t>Prime Farm</w:t>
      </w:r>
      <w:r w:rsidR="78CF42AC" w:rsidRPr="009806F6">
        <w:rPr>
          <w:rFonts w:ascii="Inter Black" w:hAnsi="Inter Black"/>
          <w:b/>
          <w:bCs/>
          <w:color w:val="023C40"/>
        </w:rPr>
        <w:t>l</w:t>
      </w:r>
      <w:r w:rsidRPr="009806F6">
        <w:rPr>
          <w:rFonts w:ascii="Inter Black" w:hAnsi="Inter Black"/>
          <w:b/>
          <w:bCs/>
          <w:color w:val="023C40"/>
        </w:rPr>
        <w:t>and</w:t>
      </w:r>
    </w:p>
    <w:p w14:paraId="67DFCDDC" w14:textId="75869F3F" w:rsidR="1A2569AF" w:rsidRPr="009806F6" w:rsidRDefault="009806F6" w:rsidP="009806F6">
      <w:pPr>
        <w:pStyle w:val="MRRSubheader"/>
      </w:pPr>
      <w:r>
        <w:rPr>
          <w:noProof/>
        </w:rPr>
        <w:drawing>
          <wp:anchor distT="0" distB="0" distL="114300" distR="114300" simplePos="0" relativeHeight="251661312" behindDoc="0" locked="0" layoutInCell="1" allowOverlap="1" wp14:anchorId="08AE9CEA" wp14:editId="75A8D1FE">
            <wp:simplePos x="0" y="0"/>
            <wp:positionH relativeFrom="margin">
              <wp:align>left</wp:align>
            </wp:positionH>
            <wp:positionV relativeFrom="margin">
              <wp:posOffset>450850</wp:posOffset>
            </wp:positionV>
            <wp:extent cx="2239010" cy="250190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39010" cy="2501900"/>
                    </a:xfrm>
                    <a:prstGeom prst="rect">
                      <a:avLst/>
                    </a:prstGeom>
                  </pic:spPr>
                </pic:pic>
              </a:graphicData>
            </a:graphic>
            <wp14:sizeRelH relativeFrom="margin">
              <wp14:pctWidth>0</wp14:pctWidth>
            </wp14:sizeRelH>
            <wp14:sizeRelV relativeFrom="margin">
              <wp14:pctHeight>0</wp14:pctHeight>
            </wp14:sizeRelV>
          </wp:anchor>
        </w:drawing>
      </w:r>
      <w:r w:rsidR="00CD27F0" w:rsidRPr="009806F6">
        <w:t>What is prime farmland and how much is there?</w:t>
      </w:r>
    </w:p>
    <w:p w14:paraId="55769C5F" w14:textId="36694B19" w:rsidR="0029596C" w:rsidRPr="009806F6" w:rsidRDefault="1A2569AF" w:rsidP="0029596C">
      <w:pPr>
        <w:rPr>
          <w:rFonts w:ascii="Source Serif Pro" w:hAnsi="Source Serif Pro"/>
        </w:rPr>
      </w:pPr>
      <w:r w:rsidRPr="009806F6">
        <w:rPr>
          <w:rFonts w:ascii="Source Serif Pro" w:hAnsi="Source Serif Pro"/>
        </w:rPr>
        <w:t xml:space="preserve">Prime farmland is defined by the U.S. Department of Agriculture as “land that has the best combination of physical and chemical characteristics for producing food, feed, forage, fiber, and oilseed crops and is available for </w:t>
      </w:r>
      <w:bookmarkStart w:id="0" w:name="_GoBack"/>
      <w:bookmarkEnd w:id="0"/>
      <w:r w:rsidRPr="009806F6">
        <w:rPr>
          <w:rFonts w:ascii="Source Serif Pro" w:hAnsi="Source Serif Pro"/>
        </w:rPr>
        <w:t>these uses</w:t>
      </w:r>
      <w:r w:rsidR="1CA8FEB9" w:rsidRPr="009806F6">
        <w:rPr>
          <w:rFonts w:ascii="Source Serif Pro" w:hAnsi="Source Serif Pro"/>
        </w:rPr>
        <w:t>.”</w:t>
      </w:r>
      <w:r w:rsidRPr="009806F6">
        <w:rPr>
          <w:rStyle w:val="FootnoteReference"/>
          <w:rFonts w:ascii="Source Serif Pro" w:hAnsi="Source Serif Pro"/>
        </w:rPr>
        <w:footnoteReference w:id="1"/>
      </w:r>
      <w:r w:rsidR="00CD27F0" w:rsidRPr="009806F6">
        <w:rPr>
          <w:rFonts w:ascii="Source Serif Pro" w:hAnsi="Source Serif Pro"/>
        </w:rPr>
        <w:t xml:space="preserve"> </w:t>
      </w:r>
      <w:r w:rsidR="00EA512E" w:rsidRPr="009806F6">
        <w:rPr>
          <w:rFonts w:ascii="Source Serif Pro" w:hAnsi="Source Serif Pro"/>
        </w:rPr>
        <w:t>The</w:t>
      </w:r>
      <w:r w:rsidR="601FA90A" w:rsidRPr="009806F6">
        <w:rPr>
          <w:rFonts w:ascii="Source Serif Pro" w:hAnsi="Source Serif Pro"/>
        </w:rPr>
        <w:t xml:space="preserve"> USDA </w:t>
      </w:r>
      <w:r w:rsidR="00EA512E" w:rsidRPr="009806F6">
        <w:rPr>
          <w:rFonts w:ascii="Source Serif Pro" w:hAnsi="Source Serif Pro"/>
        </w:rPr>
        <w:t>National Resources Inventory takes stock of existing prime farmland, revealing that there</w:t>
      </w:r>
      <w:r w:rsidR="601FA90A" w:rsidRPr="009806F6">
        <w:rPr>
          <w:rFonts w:ascii="Source Serif Pro" w:hAnsi="Source Serif Pro"/>
        </w:rPr>
        <w:t xml:space="preserve"> are</w:t>
      </w:r>
      <w:r w:rsidR="006A568F" w:rsidRPr="009806F6">
        <w:rPr>
          <w:rFonts w:ascii="Source Serif Pro" w:hAnsi="Source Serif Pro"/>
        </w:rPr>
        <w:t xml:space="preserve"> ample</w:t>
      </w:r>
      <w:r w:rsidR="601FA90A" w:rsidRPr="009806F6">
        <w:rPr>
          <w:rFonts w:ascii="Source Serif Pro" w:hAnsi="Source Serif Pro"/>
        </w:rPr>
        <w:t xml:space="preserve"> acres of usable farmland in the Midwest for both the food and energy sectors.</w:t>
      </w:r>
      <w:r w:rsidR="6146458F" w:rsidRPr="009806F6">
        <w:rPr>
          <w:rStyle w:val="FootnoteReference"/>
          <w:rFonts w:ascii="Source Serif Pro" w:hAnsi="Source Serif Pro"/>
        </w:rPr>
        <w:footnoteReference w:id="2"/>
      </w:r>
    </w:p>
    <w:p w14:paraId="08A5C46C" w14:textId="6A277FD8" w:rsidR="00353DFD" w:rsidRPr="009806F6" w:rsidRDefault="320FD209" w:rsidP="00353DFD">
      <w:pPr>
        <w:spacing w:after="0"/>
        <w:rPr>
          <w:rFonts w:ascii="Source Serif Pro" w:hAnsi="Source Serif Pro"/>
        </w:rPr>
      </w:pPr>
      <w:r w:rsidRPr="009806F6">
        <w:rPr>
          <w:rStyle w:val="MRRSubheaderChar"/>
        </w:rPr>
        <w:t>Do renewables require prime farmland?</w:t>
      </w:r>
      <w:r w:rsidR="358F10F2">
        <w:br/>
      </w:r>
      <w:r w:rsidRPr="009806F6">
        <w:rPr>
          <w:rFonts w:ascii="Source Serif Pro" w:hAnsi="Source Serif Pro"/>
        </w:rPr>
        <w:t>No;</w:t>
      </w:r>
      <w:r w:rsidR="39988B41" w:rsidRPr="009806F6">
        <w:rPr>
          <w:rFonts w:ascii="Source Serif Pro" w:hAnsi="Source Serif Pro"/>
        </w:rPr>
        <w:t xml:space="preserve"> </w:t>
      </w:r>
      <w:r w:rsidR="50E35677" w:rsidRPr="009806F6">
        <w:rPr>
          <w:rFonts w:ascii="Source Serif Pro" w:hAnsi="Source Serif Pro"/>
        </w:rPr>
        <w:t>while solar and wind do require m</w:t>
      </w:r>
      <w:r w:rsidR="5C955F44" w:rsidRPr="009806F6">
        <w:rPr>
          <w:rFonts w:ascii="Source Serif Pro" w:hAnsi="Source Serif Pro"/>
        </w:rPr>
        <w:t xml:space="preserve">any </w:t>
      </w:r>
      <w:r w:rsidR="50E35677" w:rsidRPr="009806F6">
        <w:rPr>
          <w:rFonts w:ascii="Source Serif Pro" w:hAnsi="Source Serif Pro"/>
        </w:rPr>
        <w:t xml:space="preserve">of the same land qualities as crops, </w:t>
      </w:r>
      <w:r w:rsidR="6A1E0B28" w:rsidRPr="009806F6">
        <w:rPr>
          <w:rFonts w:ascii="Source Serif Pro" w:hAnsi="Source Serif Pro"/>
        </w:rPr>
        <w:t xml:space="preserve">they </w:t>
      </w:r>
      <w:r w:rsidR="29A079B6" w:rsidRPr="009806F6">
        <w:rPr>
          <w:rFonts w:ascii="Source Serif Pro" w:hAnsi="Source Serif Pro"/>
        </w:rPr>
        <w:t>do not specifically require prime farmland for success.</w:t>
      </w:r>
      <w:r w:rsidR="34881641" w:rsidRPr="009806F6">
        <w:rPr>
          <w:rFonts w:ascii="Source Serif Pro" w:hAnsi="Source Serif Pro"/>
        </w:rPr>
        <w:t xml:space="preserve"> </w:t>
      </w:r>
      <w:r w:rsidR="00CD27F0" w:rsidRPr="009806F6">
        <w:rPr>
          <w:rFonts w:ascii="Source Serif Pro" w:hAnsi="Source Serif Pro"/>
        </w:rPr>
        <w:t xml:space="preserve">However, limiting use of prime farmland </w:t>
      </w:r>
      <w:r w:rsidR="00523E36" w:rsidRPr="009806F6">
        <w:rPr>
          <w:rFonts w:ascii="Source Serif Pro" w:hAnsi="Source Serif Pro"/>
        </w:rPr>
        <w:t>can infringe upon private property rights and</w:t>
      </w:r>
      <w:r w:rsidR="00CD27F0" w:rsidRPr="009806F6">
        <w:rPr>
          <w:rFonts w:ascii="Source Serif Pro" w:hAnsi="Source Serif Pro"/>
        </w:rPr>
        <w:t xml:space="preserve"> </w:t>
      </w:r>
      <w:r w:rsidR="00523E36" w:rsidRPr="009806F6">
        <w:rPr>
          <w:rFonts w:ascii="Source Serif Pro" w:hAnsi="Source Serif Pro"/>
        </w:rPr>
        <w:t xml:space="preserve">hinder development of </w:t>
      </w:r>
      <w:r w:rsidR="00CD27F0" w:rsidRPr="009806F6">
        <w:rPr>
          <w:rFonts w:ascii="Source Serif Pro" w:hAnsi="Source Serif Pro"/>
        </w:rPr>
        <w:t>projects that are vital to the success of our energy goals and beneficial to our communities. Developers should</w:t>
      </w:r>
      <w:r w:rsidR="003016FE" w:rsidRPr="009806F6">
        <w:rPr>
          <w:rFonts w:ascii="Source Serif Pro" w:hAnsi="Source Serif Pro"/>
        </w:rPr>
        <w:t xml:space="preserve"> consider</w:t>
      </w:r>
      <w:r w:rsidR="00CD27F0" w:rsidRPr="009806F6">
        <w:rPr>
          <w:rFonts w:ascii="Source Serif Pro" w:hAnsi="Source Serif Pro"/>
        </w:rPr>
        <w:t xml:space="preserve"> all possible sites to best </w:t>
      </w:r>
      <w:r w:rsidR="003016FE" w:rsidRPr="009806F6">
        <w:rPr>
          <w:rFonts w:ascii="Source Serif Pro" w:hAnsi="Source Serif Pro"/>
        </w:rPr>
        <w:t>serve</w:t>
      </w:r>
      <w:r w:rsidR="00CD27F0" w:rsidRPr="009806F6">
        <w:rPr>
          <w:rFonts w:ascii="Source Serif Pro" w:hAnsi="Source Serif Pro"/>
        </w:rPr>
        <w:t xml:space="preserve"> the community, the environment and our clean energy </w:t>
      </w:r>
      <w:r w:rsidR="003016FE" w:rsidRPr="009806F6">
        <w:rPr>
          <w:rFonts w:ascii="Source Serif Pro" w:hAnsi="Source Serif Pro"/>
        </w:rPr>
        <w:t>needs</w:t>
      </w:r>
      <w:r w:rsidR="00CD27F0" w:rsidRPr="009806F6">
        <w:rPr>
          <w:rFonts w:ascii="Source Serif Pro" w:hAnsi="Source Serif Pro"/>
        </w:rPr>
        <w:t>.</w:t>
      </w:r>
    </w:p>
    <w:p w14:paraId="3FE3CB43" w14:textId="36FB149A" w:rsidR="00CD27F0" w:rsidRDefault="358F10F2" w:rsidP="00CD27F0">
      <w:pPr>
        <w:spacing w:before="240"/>
      </w:pPr>
      <w:r w:rsidRPr="009806F6">
        <w:rPr>
          <w:rStyle w:val="MRRSubheaderChar"/>
        </w:rPr>
        <w:t xml:space="preserve">Are renewables taking prime farmland </w:t>
      </w:r>
      <w:r w:rsidR="0029596C" w:rsidRPr="009806F6">
        <w:rPr>
          <w:rStyle w:val="MRRSubheaderChar"/>
        </w:rPr>
        <w:t>from the</w:t>
      </w:r>
      <w:r w:rsidRPr="009806F6">
        <w:rPr>
          <w:rStyle w:val="MRRSubheaderChar"/>
        </w:rPr>
        <w:t xml:space="preserve"> food sector?</w:t>
      </w:r>
      <w:r w:rsidRPr="009806F6">
        <w:rPr>
          <w:rStyle w:val="MRRSubheaderChar"/>
        </w:rPr>
        <w:br/>
      </w:r>
      <w:r w:rsidR="0029596C" w:rsidRPr="009806F6">
        <w:rPr>
          <w:rFonts w:ascii="Source Serif Pro" w:hAnsi="Source Serif Pro"/>
        </w:rPr>
        <w:t>No</w:t>
      </w:r>
      <w:r w:rsidR="00866DDC" w:rsidRPr="009806F6">
        <w:rPr>
          <w:rFonts w:ascii="Source Serif Pro" w:hAnsi="Source Serif Pro"/>
        </w:rPr>
        <w:t xml:space="preserve">; </w:t>
      </w:r>
      <w:r w:rsidR="002C7618" w:rsidRPr="009806F6">
        <w:rPr>
          <w:rFonts w:ascii="Source Serif Pro" w:hAnsi="Source Serif Pro"/>
        </w:rPr>
        <w:t>about 64% of the</w:t>
      </w:r>
      <w:r w:rsidR="00866DDC" w:rsidRPr="009806F6">
        <w:rPr>
          <w:rFonts w:ascii="Source Serif Pro" w:hAnsi="Source Serif Pro"/>
        </w:rPr>
        <w:t xml:space="preserve"> 313.7 million acres of prime farmland in the U.S</w:t>
      </w:r>
      <w:r w:rsidR="002C7618" w:rsidRPr="009806F6">
        <w:rPr>
          <w:rFonts w:ascii="Source Serif Pro" w:hAnsi="Source Serif Pro"/>
        </w:rPr>
        <w:t>. are considered</w:t>
      </w:r>
      <w:r w:rsidR="000D6346" w:rsidRPr="009806F6">
        <w:rPr>
          <w:rFonts w:ascii="Source Serif Pro" w:hAnsi="Source Serif Pro"/>
        </w:rPr>
        <w:t xml:space="preserve"> cropland, which are</w:t>
      </w:r>
      <w:r w:rsidR="002C7618" w:rsidRPr="009806F6">
        <w:rPr>
          <w:rFonts w:ascii="Source Serif Pro" w:hAnsi="Source Serif Pro"/>
        </w:rPr>
        <w:t xml:space="preserve"> not exclusive to food production. </w:t>
      </w:r>
      <w:r w:rsidR="00CD27F0" w:rsidRPr="009806F6">
        <w:rPr>
          <w:rFonts w:ascii="Source Serif Pro" w:hAnsi="Source Serif Pro"/>
        </w:rPr>
        <w:t>Other purposes include</w:t>
      </w:r>
      <w:r w:rsidR="2E1ABFF8" w:rsidRPr="009806F6">
        <w:rPr>
          <w:rFonts w:ascii="Source Serif Pro" w:hAnsi="Source Serif Pro"/>
        </w:rPr>
        <w:t xml:space="preserve"> </w:t>
      </w:r>
      <w:r w:rsidRPr="009806F6">
        <w:rPr>
          <w:rFonts w:ascii="Source Serif Pro" w:hAnsi="Source Serif Pro"/>
        </w:rPr>
        <w:t>growth of ethanol-producing crops</w:t>
      </w:r>
      <w:r w:rsidR="005A6EE9" w:rsidRPr="009806F6">
        <w:rPr>
          <w:rFonts w:ascii="Source Serif Pro" w:hAnsi="Source Serif Pro"/>
        </w:rPr>
        <w:t xml:space="preserve">, </w:t>
      </w:r>
      <w:r w:rsidR="003016FE" w:rsidRPr="009806F6">
        <w:rPr>
          <w:rFonts w:ascii="Source Serif Pro" w:hAnsi="Source Serif Pro"/>
        </w:rPr>
        <w:t>urban</w:t>
      </w:r>
      <w:r w:rsidR="00FD2CDB" w:rsidRPr="009806F6">
        <w:rPr>
          <w:rFonts w:ascii="Source Serif Pro" w:hAnsi="Source Serif Pro"/>
        </w:rPr>
        <w:t xml:space="preserve"> </w:t>
      </w:r>
      <w:r w:rsidR="005A6EE9" w:rsidRPr="009806F6">
        <w:rPr>
          <w:rFonts w:ascii="Source Serif Pro" w:hAnsi="Source Serif Pro"/>
        </w:rPr>
        <w:t>sprawl and rural transportation</w:t>
      </w:r>
      <w:r w:rsidR="00CD27F0" w:rsidRPr="009806F6">
        <w:rPr>
          <w:rFonts w:ascii="Source Serif Pro" w:hAnsi="Source Serif Pro"/>
        </w:rPr>
        <w:t>.</w:t>
      </w:r>
      <w:r w:rsidR="003B7A0C" w:rsidRPr="009806F6">
        <w:rPr>
          <w:rStyle w:val="FootnoteReference"/>
          <w:rFonts w:ascii="Source Serif Pro" w:hAnsi="Source Serif Pro"/>
        </w:rPr>
        <w:footnoteReference w:id="3"/>
      </w:r>
      <w:r w:rsidR="00CD27F0" w:rsidRPr="009806F6">
        <w:rPr>
          <w:rFonts w:ascii="Source Serif Pro" w:hAnsi="Source Serif Pro"/>
        </w:rPr>
        <w:t xml:space="preserve"> </w:t>
      </w:r>
      <w:r w:rsidR="003B7A0C" w:rsidRPr="009806F6">
        <w:rPr>
          <w:rFonts w:ascii="Source Serif Pro" w:hAnsi="Source Serif Pro"/>
        </w:rPr>
        <w:t>Furthermore</w:t>
      </w:r>
      <w:r w:rsidR="00CD27F0" w:rsidRPr="009806F6">
        <w:rPr>
          <w:rFonts w:ascii="Source Serif Pro" w:hAnsi="Source Serif Pro"/>
        </w:rPr>
        <w:t>, thanks to innovation in biotechnology and seed blends, corn and soybean</w:t>
      </w:r>
      <w:r w:rsidR="003B7A0C" w:rsidRPr="009806F6">
        <w:rPr>
          <w:rFonts w:ascii="Source Serif Pro" w:hAnsi="Source Serif Pro"/>
        </w:rPr>
        <w:t xml:space="preserve"> yields</w:t>
      </w:r>
      <w:r w:rsidR="00CD27F0" w:rsidRPr="009806F6">
        <w:rPr>
          <w:rFonts w:ascii="Source Serif Pro" w:hAnsi="Source Serif Pro"/>
        </w:rPr>
        <w:t xml:space="preserve"> </w:t>
      </w:r>
      <w:r w:rsidR="003B7A0C" w:rsidRPr="009806F6">
        <w:rPr>
          <w:rFonts w:ascii="Source Serif Pro" w:hAnsi="Source Serif Pro"/>
        </w:rPr>
        <w:t>expand</w:t>
      </w:r>
      <w:r w:rsidR="00CD27F0" w:rsidRPr="009806F6">
        <w:rPr>
          <w:rFonts w:ascii="Source Serif Pro" w:hAnsi="Source Serif Pro"/>
        </w:rPr>
        <w:t xml:space="preserve"> even as </w:t>
      </w:r>
      <w:r w:rsidR="003B7A0C" w:rsidRPr="009806F6">
        <w:rPr>
          <w:rFonts w:ascii="Source Serif Pro" w:hAnsi="Source Serif Pro"/>
        </w:rPr>
        <w:t xml:space="preserve">acreage </w:t>
      </w:r>
      <w:r w:rsidR="00CD27F0" w:rsidRPr="009806F6">
        <w:rPr>
          <w:rFonts w:ascii="Source Serif Pro" w:hAnsi="Source Serif Pro"/>
        </w:rPr>
        <w:t>used for farming decrease</w:t>
      </w:r>
      <w:r w:rsidR="003B7A0C" w:rsidRPr="009806F6">
        <w:rPr>
          <w:rFonts w:ascii="Source Serif Pro" w:hAnsi="Source Serif Pro"/>
        </w:rPr>
        <w:t>s</w:t>
      </w:r>
      <w:r w:rsidR="00CD27F0" w:rsidRPr="009806F6">
        <w:rPr>
          <w:rFonts w:ascii="Source Serif Pro" w:hAnsi="Source Serif Pro"/>
        </w:rPr>
        <w:t>.</w:t>
      </w:r>
      <w:r w:rsidR="00FD2CDB" w:rsidRPr="009806F6">
        <w:rPr>
          <w:rStyle w:val="FootnoteReference"/>
          <w:rFonts w:ascii="Source Serif Pro" w:hAnsi="Source Serif Pro"/>
        </w:rPr>
        <w:footnoteReference w:id="4"/>
      </w:r>
      <w:r w:rsidR="00FD2CDB" w:rsidRPr="009806F6">
        <w:rPr>
          <w:rFonts w:ascii="Source Serif Pro" w:hAnsi="Source Serif Pro"/>
        </w:rPr>
        <w:t xml:space="preserve"> Renewables are cash crops with a small footprint.</w:t>
      </w:r>
    </w:p>
    <w:p w14:paraId="51FFE954" w14:textId="77A529AD" w:rsidR="00CD27F0" w:rsidRDefault="00CD27F0" w:rsidP="009806F6">
      <w:pPr>
        <w:pStyle w:val="MRRSubheader"/>
      </w:pPr>
      <w:r>
        <w:t>Renewables conserve and produce.</w:t>
      </w:r>
    </w:p>
    <w:p w14:paraId="0FEC1A96" w14:textId="62F86744" w:rsidR="00866DDC" w:rsidRPr="0029596C" w:rsidRDefault="00FD2CDB" w:rsidP="00CD27F0">
      <w:pPr>
        <w:spacing w:after="0"/>
      </w:pPr>
      <w:r w:rsidRPr="009806F6">
        <w:rPr>
          <w:rFonts w:ascii="Source Serif Pro" w:hAnsi="Source Serif Pro"/>
        </w:rPr>
        <w:t>Solar and wind</w:t>
      </w:r>
      <w:r w:rsidR="00CD27F0" w:rsidRPr="009806F6">
        <w:rPr>
          <w:rFonts w:ascii="Source Serif Pro" w:hAnsi="Source Serif Pro"/>
        </w:rPr>
        <w:t xml:space="preserve"> can coexist with </w:t>
      </w:r>
      <w:r w:rsidR="00A35C8E" w:rsidRPr="009806F6">
        <w:rPr>
          <w:rFonts w:ascii="Source Serif Pro" w:hAnsi="Source Serif Pro"/>
        </w:rPr>
        <w:t xml:space="preserve">a variety of </w:t>
      </w:r>
      <w:r w:rsidR="00CD27F0" w:rsidRPr="009806F6">
        <w:rPr>
          <w:rFonts w:ascii="Source Serif Pro" w:hAnsi="Source Serif Pro"/>
        </w:rPr>
        <w:t xml:space="preserve">conservation efforts. </w:t>
      </w:r>
      <w:r w:rsidR="003016FE" w:rsidRPr="009806F6">
        <w:rPr>
          <w:rFonts w:ascii="Source Serif Pro" w:hAnsi="Source Serif Pro"/>
        </w:rPr>
        <w:t>S</w:t>
      </w:r>
      <w:r w:rsidR="00EF6E60" w:rsidRPr="009806F6">
        <w:rPr>
          <w:rFonts w:ascii="Source Serif Pro" w:hAnsi="Source Serif Pro"/>
        </w:rPr>
        <w:t>ome</w:t>
      </w:r>
      <w:r w:rsidR="00192F26" w:rsidRPr="009806F6">
        <w:rPr>
          <w:rFonts w:ascii="Source Serif Pro" w:hAnsi="Source Serif Pro"/>
        </w:rPr>
        <w:t xml:space="preserve"> community garden and utility-scale solar projects </w:t>
      </w:r>
      <w:r w:rsidR="00F5218E" w:rsidRPr="009806F6">
        <w:rPr>
          <w:rFonts w:ascii="Source Serif Pro" w:hAnsi="Source Serif Pro"/>
        </w:rPr>
        <w:t xml:space="preserve">pair beehives with </w:t>
      </w:r>
      <w:r w:rsidR="00A35C8E" w:rsidRPr="009806F6">
        <w:rPr>
          <w:rFonts w:ascii="Source Serif Pro" w:hAnsi="Source Serif Pro"/>
        </w:rPr>
        <w:t>pollinator-friendly native plants</w:t>
      </w:r>
      <w:r w:rsidR="0073504F" w:rsidRPr="009806F6">
        <w:rPr>
          <w:rFonts w:ascii="Source Serif Pro" w:hAnsi="Source Serif Pro"/>
        </w:rPr>
        <w:t xml:space="preserve"> and flowers</w:t>
      </w:r>
      <w:r w:rsidR="00EF6E60" w:rsidRPr="009806F6">
        <w:rPr>
          <w:rFonts w:ascii="Source Serif Pro" w:hAnsi="Source Serif Pro"/>
        </w:rPr>
        <w:t xml:space="preserve"> in and around the project </w:t>
      </w:r>
      <w:r w:rsidR="000D6346" w:rsidRPr="009806F6">
        <w:rPr>
          <w:rFonts w:ascii="Source Serif Pro" w:hAnsi="Source Serif Pro"/>
        </w:rPr>
        <w:t xml:space="preserve">area. Currently, three times as many prime farmland acres are used as pastureland for grazing as there would be needed to power the </w:t>
      </w:r>
      <w:r w:rsidR="000D6346" w:rsidRPr="009806F6">
        <w:rPr>
          <w:rFonts w:ascii="Source Serif Pro" w:hAnsi="Source Serif Pro"/>
          <w:i/>
        </w:rPr>
        <w:t>entire</w:t>
      </w:r>
      <w:r w:rsidR="000D6346" w:rsidRPr="009806F6">
        <w:rPr>
          <w:rFonts w:ascii="Source Serif Pro" w:hAnsi="Source Serif Pro"/>
        </w:rPr>
        <w:t xml:space="preserve"> grid using solar.</w:t>
      </w:r>
      <w:r w:rsidR="000D6346" w:rsidRPr="009806F6">
        <w:rPr>
          <w:rStyle w:val="FootnoteReference"/>
          <w:rFonts w:ascii="Source Serif Pro" w:hAnsi="Source Serif Pro"/>
        </w:rPr>
        <w:t xml:space="preserve"> </w:t>
      </w:r>
      <w:r w:rsidR="000D6346" w:rsidRPr="009806F6">
        <w:rPr>
          <w:rStyle w:val="FootnoteReference"/>
          <w:rFonts w:ascii="Source Serif Pro" w:hAnsi="Source Serif Pro"/>
        </w:rPr>
        <w:footnoteReference w:id="5"/>
      </w:r>
      <w:r w:rsidR="000D6346" w:rsidRPr="009806F6">
        <w:rPr>
          <w:rStyle w:val="FootnoteReference"/>
          <w:rFonts w:ascii="Source Serif Pro" w:hAnsi="Source Serif Pro"/>
        </w:rPr>
        <w:footnoteReference w:id="6"/>
      </w:r>
      <w:r w:rsidR="000D6346" w:rsidRPr="009806F6">
        <w:rPr>
          <w:rFonts w:ascii="Source Serif Pro" w:hAnsi="Source Serif Pro"/>
        </w:rPr>
        <w:t xml:space="preserve"> Solar and wind systems supplemented by vegetation can be </w:t>
      </w:r>
      <w:r w:rsidR="00F5218E" w:rsidRPr="009806F6">
        <w:rPr>
          <w:rFonts w:ascii="Source Serif Pro" w:hAnsi="Source Serif Pro"/>
        </w:rPr>
        <w:t>managed by sheep and goat grazing rather than mowing</w:t>
      </w:r>
      <w:r w:rsidR="000D6346" w:rsidRPr="009806F6">
        <w:rPr>
          <w:rFonts w:ascii="Source Serif Pro" w:hAnsi="Source Serif Pro"/>
        </w:rPr>
        <w:t>, making our land even more productive</w:t>
      </w:r>
      <w:r w:rsidR="00F5218E" w:rsidRPr="009806F6">
        <w:rPr>
          <w:rFonts w:ascii="Source Serif Pro" w:hAnsi="Source Serif Pro"/>
        </w:rPr>
        <w:t>.</w:t>
      </w:r>
      <w:r w:rsidR="00AF2F55" w:rsidRPr="009806F6">
        <w:rPr>
          <w:rFonts w:ascii="Source Serif Pro" w:hAnsi="Source Serif Pro"/>
        </w:rPr>
        <w:t xml:space="preserve"> </w:t>
      </w:r>
      <w:r w:rsidR="000D6346" w:rsidRPr="009806F6">
        <w:rPr>
          <w:rFonts w:ascii="Source Serif Pro" w:hAnsi="Source Serif Pro"/>
        </w:rPr>
        <w:t>Altogether, conservation and vegetation</w:t>
      </w:r>
      <w:r w:rsidR="003016FE" w:rsidRPr="009806F6">
        <w:rPr>
          <w:rFonts w:ascii="Source Serif Pro" w:hAnsi="Source Serif Pro"/>
        </w:rPr>
        <w:t xml:space="preserve"> </w:t>
      </w:r>
      <w:r w:rsidR="000D6346" w:rsidRPr="009806F6">
        <w:rPr>
          <w:rFonts w:ascii="Source Serif Pro" w:hAnsi="Source Serif Pro"/>
        </w:rPr>
        <w:t>plans amidst renewables</w:t>
      </w:r>
      <w:r w:rsidR="003016FE" w:rsidRPr="009806F6">
        <w:rPr>
          <w:rFonts w:ascii="Source Serif Pro" w:hAnsi="Source Serif Pro"/>
        </w:rPr>
        <w:t xml:space="preserve"> lead</w:t>
      </w:r>
      <w:r w:rsidR="00CD27F0" w:rsidRPr="009806F6">
        <w:rPr>
          <w:rFonts w:ascii="Source Serif Pro" w:hAnsi="Source Serif Pro"/>
        </w:rPr>
        <w:t xml:space="preserve"> to </w:t>
      </w:r>
      <w:r w:rsidR="00F5218E" w:rsidRPr="009806F6">
        <w:rPr>
          <w:rFonts w:ascii="Source Serif Pro" w:hAnsi="Source Serif Pro"/>
        </w:rPr>
        <w:t xml:space="preserve">healthier soil, improved water storage and filtration, sequestration of carbon, </w:t>
      </w:r>
      <w:r w:rsidRPr="009806F6">
        <w:rPr>
          <w:rFonts w:ascii="Source Serif Pro" w:hAnsi="Source Serif Pro"/>
        </w:rPr>
        <w:t xml:space="preserve">erosion </w:t>
      </w:r>
      <w:r w:rsidR="00F5218E" w:rsidRPr="009806F6">
        <w:rPr>
          <w:rFonts w:ascii="Source Serif Pro" w:hAnsi="Source Serif Pro"/>
        </w:rPr>
        <w:t>reduction, habitat preservation and lower local energy costs.</w:t>
      </w:r>
      <w:r w:rsidR="00CD27F0" w:rsidRPr="009806F6">
        <w:rPr>
          <w:rStyle w:val="FootnoteReference"/>
          <w:rFonts w:ascii="Source Serif Pro" w:eastAsia="Calibri" w:hAnsi="Source Serif Pro" w:cs="Calibri"/>
        </w:rPr>
        <w:footnoteReference w:id="7"/>
      </w:r>
    </w:p>
    <w:sectPr w:rsidR="00866DDC" w:rsidRPr="0029596C" w:rsidSect="002959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A12AC" w14:textId="77777777" w:rsidR="00050A47" w:rsidRDefault="00050A47">
      <w:pPr>
        <w:spacing w:after="0" w:line="240" w:lineRule="auto"/>
      </w:pPr>
      <w:r>
        <w:separator/>
      </w:r>
    </w:p>
  </w:endnote>
  <w:endnote w:type="continuationSeparator" w:id="0">
    <w:p w14:paraId="34B7925E" w14:textId="77777777" w:rsidR="00050A47" w:rsidRDefault="0005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Medium">
    <w:charset w:val="00"/>
    <w:family w:val="auto"/>
    <w:pitch w:val="variable"/>
    <w:sig w:usb0="E00002FF" w:usb1="1200A1FF" w:usb2="00000001" w:usb3="00000000" w:csb0="0000019F" w:csb1="00000000"/>
  </w:font>
  <w:font w:name="Inter Black">
    <w:charset w:val="00"/>
    <w:family w:val="auto"/>
    <w:pitch w:val="variable"/>
    <w:sig w:usb0="E00002FF" w:usb1="1200A1FF" w:usb2="00000001" w:usb3="00000000" w:csb0="0000019F" w:csb1="00000000"/>
  </w:font>
  <w:font w:name="Source Serif Pro">
    <w:charset w:val="00"/>
    <w:family w:val="roman"/>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D1CA2" w14:textId="77777777" w:rsidR="00050A47" w:rsidRDefault="00050A47">
      <w:pPr>
        <w:spacing w:after="0" w:line="240" w:lineRule="auto"/>
      </w:pPr>
      <w:r>
        <w:separator/>
      </w:r>
    </w:p>
  </w:footnote>
  <w:footnote w:type="continuationSeparator" w:id="0">
    <w:p w14:paraId="6FEEAB7E" w14:textId="77777777" w:rsidR="00050A47" w:rsidRDefault="00050A47">
      <w:pPr>
        <w:spacing w:after="0" w:line="240" w:lineRule="auto"/>
      </w:pPr>
      <w:r>
        <w:continuationSeparator/>
      </w:r>
    </w:p>
  </w:footnote>
  <w:footnote w:id="1">
    <w:p w14:paraId="77D507A7" w14:textId="6BF5C066" w:rsidR="7936548A" w:rsidRPr="00EA512E" w:rsidRDefault="7936548A" w:rsidP="00CD27F0">
      <w:pPr>
        <w:spacing w:after="0" w:line="240" w:lineRule="auto"/>
        <w:ind w:left="567" w:hanging="567"/>
        <w:rPr>
          <w:rFonts w:cstheme="minorHAnsi"/>
          <w:sz w:val="16"/>
          <w:szCs w:val="16"/>
        </w:rPr>
      </w:pPr>
      <w:r w:rsidRPr="00EA512E">
        <w:rPr>
          <w:rStyle w:val="FootnoteReference"/>
          <w:rFonts w:cstheme="minorHAnsi"/>
          <w:sz w:val="16"/>
          <w:szCs w:val="16"/>
        </w:rPr>
        <w:footnoteRef/>
      </w:r>
      <w:r w:rsidRPr="00EA512E">
        <w:rPr>
          <w:rFonts w:cstheme="minorHAnsi"/>
          <w:sz w:val="16"/>
          <w:szCs w:val="16"/>
        </w:rPr>
        <w:t xml:space="preserve">“Natural Resources Conservation Service.” </w:t>
      </w:r>
      <w:r w:rsidRPr="00EA512E">
        <w:rPr>
          <w:rFonts w:cstheme="minorHAnsi"/>
          <w:i/>
          <w:iCs/>
          <w:sz w:val="16"/>
          <w:szCs w:val="16"/>
        </w:rPr>
        <w:t>Prime Farmland</w:t>
      </w:r>
      <w:r w:rsidRPr="00EA512E">
        <w:rPr>
          <w:rFonts w:cstheme="minorHAnsi"/>
          <w:sz w:val="16"/>
          <w:szCs w:val="16"/>
        </w:rPr>
        <w:t xml:space="preserve">, </w:t>
      </w:r>
      <w:hyperlink r:id="rId1" w:history="1">
        <w:r w:rsidR="00DA1574" w:rsidRPr="00EA512E">
          <w:rPr>
            <w:rStyle w:val="Hyperlink"/>
            <w:rFonts w:cstheme="minorHAnsi"/>
            <w:sz w:val="16"/>
            <w:szCs w:val="16"/>
          </w:rPr>
          <w:t>www.nrcs.usda.gov/wps/portal/nrcs/detail/null/?cid=nrcs143_014052</w:t>
        </w:r>
      </w:hyperlink>
      <w:r w:rsidRPr="00EA512E">
        <w:rPr>
          <w:rFonts w:cstheme="minorHAnsi"/>
          <w:sz w:val="16"/>
          <w:szCs w:val="16"/>
        </w:rPr>
        <w:t>.</w:t>
      </w:r>
    </w:p>
  </w:footnote>
  <w:footnote w:id="2">
    <w:p w14:paraId="1D94B635" w14:textId="083F2BA0" w:rsidR="5D44F8A4" w:rsidRPr="00EA512E" w:rsidRDefault="5D44F8A4" w:rsidP="006A568F">
      <w:pPr>
        <w:spacing w:after="0" w:line="240" w:lineRule="auto"/>
        <w:ind w:left="567" w:hanging="567"/>
        <w:rPr>
          <w:rFonts w:cstheme="minorHAnsi"/>
          <w:sz w:val="16"/>
          <w:szCs w:val="16"/>
        </w:rPr>
      </w:pPr>
      <w:r w:rsidRPr="00EA512E">
        <w:rPr>
          <w:rStyle w:val="FootnoteReference"/>
          <w:rFonts w:cstheme="minorHAnsi"/>
          <w:sz w:val="16"/>
          <w:szCs w:val="16"/>
        </w:rPr>
        <w:footnoteRef/>
      </w:r>
      <w:r w:rsidRPr="00EA512E">
        <w:rPr>
          <w:rFonts w:cstheme="minorHAnsi"/>
          <w:sz w:val="16"/>
          <w:szCs w:val="16"/>
        </w:rPr>
        <w:t xml:space="preserve"> </w:t>
      </w:r>
      <w:r w:rsidR="00EA512E" w:rsidRPr="00EA512E">
        <w:rPr>
          <w:rFonts w:cstheme="minorHAnsi"/>
          <w:sz w:val="16"/>
          <w:szCs w:val="16"/>
        </w:rPr>
        <w:t>U.S. Department of Agriculture. 2020. Summary Report: 2017 National Resources Inventory,</w:t>
      </w:r>
      <w:r w:rsidR="00EA512E" w:rsidRPr="009B3291">
        <w:rPr>
          <w:rFonts w:cstheme="minorHAnsi"/>
          <w:i/>
          <w:sz w:val="16"/>
          <w:szCs w:val="16"/>
        </w:rPr>
        <w:t xml:space="preserve"> Natural Resources Conservation Service</w:t>
      </w:r>
      <w:r w:rsidR="00EA512E" w:rsidRPr="00EA512E">
        <w:rPr>
          <w:rFonts w:cstheme="minorHAnsi"/>
          <w:sz w:val="16"/>
          <w:szCs w:val="16"/>
        </w:rPr>
        <w:t>, Washington, DC, and Center for Survey Statistics and Methodology, Iow</w:t>
      </w:r>
      <w:r w:rsidR="00EA512E">
        <w:rPr>
          <w:rFonts w:cstheme="minorHAnsi"/>
          <w:sz w:val="16"/>
          <w:szCs w:val="16"/>
        </w:rPr>
        <w:t xml:space="preserve">a State University, Ames, Iowa. </w:t>
      </w:r>
      <w:r w:rsidR="00EA512E" w:rsidRPr="00EA512E">
        <w:rPr>
          <w:rFonts w:cstheme="minorHAnsi"/>
          <w:sz w:val="16"/>
          <w:szCs w:val="16"/>
        </w:rPr>
        <w:t>https://www.nrcs.usda.gov/wps/portal/nrcs/main/national/technical/nra/nri/results/</w:t>
      </w:r>
    </w:p>
  </w:footnote>
  <w:footnote w:id="3">
    <w:p w14:paraId="306D2804" w14:textId="77777777" w:rsidR="003B7A0C" w:rsidRPr="00EA512E" w:rsidRDefault="003B7A0C" w:rsidP="003B7A0C">
      <w:pPr>
        <w:pStyle w:val="NormalWeb"/>
        <w:spacing w:before="0" w:beforeAutospacing="0" w:after="0" w:afterAutospacing="0"/>
        <w:ind w:left="567" w:hanging="567"/>
        <w:rPr>
          <w:rFonts w:asciiTheme="minorHAnsi" w:hAnsiTheme="minorHAnsi" w:cstheme="minorHAnsi"/>
          <w:sz w:val="16"/>
          <w:szCs w:val="16"/>
        </w:rPr>
      </w:pPr>
      <w:r w:rsidRPr="00EA512E">
        <w:rPr>
          <w:rStyle w:val="FootnoteReference"/>
          <w:rFonts w:asciiTheme="minorHAnsi" w:hAnsiTheme="minorHAnsi" w:cstheme="minorHAnsi"/>
          <w:sz w:val="16"/>
          <w:szCs w:val="16"/>
        </w:rPr>
        <w:footnoteRef/>
      </w:r>
      <w:r w:rsidRPr="00EA512E">
        <w:rPr>
          <w:rFonts w:asciiTheme="minorHAnsi" w:hAnsiTheme="minorHAnsi" w:cstheme="minorHAnsi"/>
          <w:sz w:val="16"/>
          <w:szCs w:val="16"/>
        </w:rPr>
        <w:t xml:space="preserve"> “Prime Farmland ‘Top Ten’ States.” </w:t>
      </w:r>
      <w:r w:rsidRPr="00EA512E">
        <w:rPr>
          <w:rFonts w:asciiTheme="minorHAnsi" w:hAnsiTheme="minorHAnsi" w:cstheme="minorHAnsi"/>
          <w:i/>
          <w:iCs/>
          <w:sz w:val="16"/>
          <w:szCs w:val="16"/>
        </w:rPr>
        <w:t>National Resources Conservation Service</w:t>
      </w:r>
      <w:r w:rsidRPr="00EA512E">
        <w:rPr>
          <w:rFonts w:asciiTheme="minorHAnsi" w:hAnsiTheme="minorHAnsi" w:cstheme="minorHAnsi"/>
          <w:sz w:val="16"/>
          <w:szCs w:val="16"/>
        </w:rPr>
        <w:t xml:space="preserve">, National Resources Inventory, 1997, Dec. 2000, </w:t>
      </w:r>
      <w:hyperlink r:id="rId2" w:history="1">
        <w:r w:rsidRPr="00EA512E">
          <w:rPr>
            <w:rStyle w:val="Hyperlink"/>
            <w:rFonts w:asciiTheme="minorHAnsi" w:hAnsiTheme="minorHAnsi" w:cstheme="minorHAnsi"/>
            <w:sz w:val="16"/>
            <w:szCs w:val="16"/>
          </w:rPr>
          <w:t>www.nrcs.usda.gov/wps/portal/nrcs/detail/null/?cid=nrcs143_014052</w:t>
        </w:r>
      </w:hyperlink>
      <w:r w:rsidRPr="00EA512E">
        <w:rPr>
          <w:rFonts w:asciiTheme="minorHAnsi" w:hAnsiTheme="minorHAnsi" w:cstheme="minorHAnsi"/>
          <w:sz w:val="16"/>
          <w:szCs w:val="16"/>
        </w:rPr>
        <w:t xml:space="preserve">. </w:t>
      </w:r>
    </w:p>
  </w:footnote>
  <w:footnote w:id="4">
    <w:p w14:paraId="4E370464" w14:textId="39CCD92B" w:rsidR="00FD2CDB" w:rsidRPr="00EA512E" w:rsidRDefault="00FD2CDB">
      <w:pPr>
        <w:pStyle w:val="FootnoteText"/>
        <w:rPr>
          <w:rFonts w:cstheme="minorHAnsi"/>
          <w:i/>
          <w:iCs/>
          <w:sz w:val="16"/>
          <w:szCs w:val="16"/>
        </w:rPr>
      </w:pPr>
      <w:r w:rsidRPr="00EA512E">
        <w:rPr>
          <w:rStyle w:val="FootnoteReference"/>
          <w:rFonts w:cstheme="minorHAnsi"/>
          <w:sz w:val="16"/>
          <w:szCs w:val="16"/>
        </w:rPr>
        <w:footnoteRef/>
      </w:r>
      <w:r w:rsidRPr="00EA512E">
        <w:rPr>
          <w:rFonts w:cstheme="minorHAnsi"/>
          <w:sz w:val="16"/>
          <w:szCs w:val="16"/>
        </w:rPr>
        <w:t xml:space="preserve"> Perdue, Sonny, and Hubert Hamer. 1, Part 51, United States Department of Agriculture, 2019, </w:t>
      </w:r>
      <w:r w:rsidRPr="00EA512E">
        <w:rPr>
          <w:rFonts w:cstheme="minorHAnsi"/>
          <w:i/>
          <w:iCs/>
          <w:sz w:val="16"/>
          <w:szCs w:val="16"/>
        </w:rPr>
        <w:t>United States Summary and State Data; Geographic Area Series.</w:t>
      </w:r>
    </w:p>
  </w:footnote>
  <w:footnote w:id="5">
    <w:p w14:paraId="15892DA5" w14:textId="77777777" w:rsidR="000D6346" w:rsidRPr="00EA512E" w:rsidRDefault="000D6346" w:rsidP="000D6346">
      <w:pPr>
        <w:spacing w:after="0"/>
        <w:rPr>
          <w:rFonts w:cstheme="minorHAnsi"/>
          <w:sz w:val="16"/>
          <w:szCs w:val="16"/>
        </w:rPr>
      </w:pPr>
      <w:r w:rsidRPr="00EA512E">
        <w:rPr>
          <w:rStyle w:val="FootnoteReference"/>
          <w:rFonts w:cstheme="minorHAnsi"/>
          <w:sz w:val="16"/>
          <w:szCs w:val="16"/>
        </w:rPr>
        <w:footnoteRef/>
      </w:r>
      <w:r w:rsidRPr="00EA512E">
        <w:rPr>
          <w:rFonts w:cstheme="minorHAnsi"/>
          <w:sz w:val="16"/>
          <w:szCs w:val="16"/>
        </w:rPr>
        <w:t xml:space="preserve"> “U.S. Energy Information Administration - </w:t>
      </w:r>
      <w:proofErr w:type="spellStart"/>
      <w:r w:rsidRPr="00EA512E">
        <w:rPr>
          <w:rFonts w:cstheme="minorHAnsi"/>
          <w:sz w:val="16"/>
          <w:szCs w:val="16"/>
        </w:rPr>
        <w:t>Eia</w:t>
      </w:r>
      <w:proofErr w:type="spellEnd"/>
      <w:r w:rsidRPr="00EA512E">
        <w:rPr>
          <w:rFonts w:cstheme="minorHAnsi"/>
          <w:sz w:val="16"/>
          <w:szCs w:val="16"/>
        </w:rPr>
        <w:t xml:space="preserve"> - Independent Statistics and Analysis.” </w:t>
      </w:r>
      <w:r w:rsidRPr="00EA512E">
        <w:rPr>
          <w:rFonts w:cstheme="minorHAnsi"/>
          <w:i/>
          <w:iCs/>
          <w:sz w:val="16"/>
          <w:szCs w:val="16"/>
        </w:rPr>
        <w:t>Use of Electricity - U.S. Energy Information Administration (EIA)</w:t>
      </w:r>
      <w:r w:rsidRPr="00EA512E">
        <w:rPr>
          <w:rFonts w:cstheme="minorHAnsi"/>
          <w:sz w:val="16"/>
          <w:szCs w:val="16"/>
        </w:rPr>
        <w:t xml:space="preserve">, 7 Apr. 2021, </w:t>
      </w:r>
      <w:hyperlink r:id="rId3" w:history="1">
        <w:r w:rsidRPr="00EA512E">
          <w:rPr>
            <w:rStyle w:val="Hyperlink"/>
            <w:rFonts w:cstheme="minorHAnsi"/>
            <w:sz w:val="16"/>
            <w:szCs w:val="16"/>
          </w:rPr>
          <w:t>www.eia.gov/energyexplained/electricity/use-of-electricity.php</w:t>
        </w:r>
      </w:hyperlink>
      <w:r w:rsidRPr="00EA512E">
        <w:rPr>
          <w:rFonts w:cstheme="minorHAnsi"/>
          <w:sz w:val="16"/>
          <w:szCs w:val="16"/>
        </w:rPr>
        <w:t xml:space="preserve">.  </w:t>
      </w:r>
    </w:p>
  </w:footnote>
  <w:footnote w:id="6">
    <w:p w14:paraId="4AA8DA1F" w14:textId="77777777" w:rsidR="000D6346" w:rsidRPr="00EA512E" w:rsidRDefault="000D6346" w:rsidP="000D6346">
      <w:pPr>
        <w:spacing w:after="0"/>
        <w:rPr>
          <w:rFonts w:cstheme="minorHAnsi"/>
          <w:sz w:val="16"/>
          <w:szCs w:val="16"/>
        </w:rPr>
      </w:pPr>
      <w:r w:rsidRPr="00EA512E">
        <w:rPr>
          <w:rStyle w:val="FootnoteReference"/>
          <w:rFonts w:cstheme="minorHAnsi"/>
          <w:sz w:val="16"/>
          <w:szCs w:val="16"/>
        </w:rPr>
        <w:footnoteRef/>
      </w:r>
      <w:r w:rsidRPr="00EA512E">
        <w:rPr>
          <w:rFonts w:cstheme="minorHAnsi"/>
          <w:sz w:val="16"/>
          <w:szCs w:val="16"/>
        </w:rPr>
        <w:t xml:space="preserve"> Ong, Sean, et al. NREL - National Renewable Energy Laboratory, 2013, p. V, </w:t>
      </w:r>
      <w:r w:rsidRPr="00EA512E">
        <w:rPr>
          <w:rFonts w:cstheme="minorHAnsi"/>
          <w:i/>
          <w:iCs/>
          <w:sz w:val="16"/>
          <w:szCs w:val="16"/>
        </w:rPr>
        <w:t>Land-Use Requirements for Solar Power Plants in the United States.</w:t>
      </w:r>
    </w:p>
  </w:footnote>
  <w:footnote w:id="7">
    <w:p w14:paraId="23FF2E6B" w14:textId="3332F870" w:rsidR="00CD27F0" w:rsidRPr="00EA512E" w:rsidRDefault="00CD27F0" w:rsidP="00CD27F0">
      <w:pPr>
        <w:spacing w:after="0" w:line="240" w:lineRule="auto"/>
        <w:ind w:left="567" w:hanging="567"/>
        <w:rPr>
          <w:rFonts w:cstheme="minorHAnsi"/>
          <w:sz w:val="16"/>
          <w:szCs w:val="16"/>
        </w:rPr>
      </w:pPr>
      <w:r w:rsidRPr="00EA512E">
        <w:rPr>
          <w:rStyle w:val="FootnoteReference"/>
          <w:rFonts w:cstheme="minorHAnsi"/>
          <w:sz w:val="16"/>
          <w:szCs w:val="16"/>
        </w:rPr>
        <w:footnoteRef/>
      </w:r>
      <w:r w:rsidRPr="00EA512E">
        <w:rPr>
          <w:rFonts w:cstheme="minorHAnsi"/>
          <w:sz w:val="16"/>
          <w:szCs w:val="16"/>
        </w:rPr>
        <w:t xml:space="preserve"> </w:t>
      </w:r>
      <w:proofErr w:type="spellStart"/>
      <w:r w:rsidRPr="00EA512E">
        <w:rPr>
          <w:rFonts w:cstheme="minorHAnsi"/>
          <w:sz w:val="16"/>
          <w:szCs w:val="16"/>
        </w:rPr>
        <w:t>Benage</w:t>
      </w:r>
      <w:proofErr w:type="spellEnd"/>
      <w:r w:rsidRPr="00EA512E">
        <w:rPr>
          <w:rFonts w:cstheme="minorHAnsi"/>
          <w:sz w:val="16"/>
          <w:szCs w:val="16"/>
        </w:rPr>
        <w:t xml:space="preserve">, Megan, et al. “Guidance for Developing a Vegetation Establishment and Management Plan for Solar Facilities.” </w:t>
      </w:r>
      <w:r w:rsidRPr="00EA512E">
        <w:rPr>
          <w:rFonts w:cstheme="minorHAnsi"/>
          <w:i/>
          <w:iCs/>
          <w:sz w:val="16"/>
          <w:szCs w:val="16"/>
        </w:rPr>
        <w:t>Environmental Review of Energy Projects</w:t>
      </w:r>
      <w:r w:rsidRPr="00EA512E">
        <w:rPr>
          <w:rFonts w:cstheme="minorHAnsi"/>
          <w:sz w:val="16"/>
          <w:szCs w:val="16"/>
        </w:rPr>
        <w:t xml:space="preserve">, MN Commerce Department; Division of Energy Resources, Mar. 2021,  </w:t>
      </w:r>
      <w:hyperlink r:id="rId4" w:history="1">
        <w:r w:rsidR="00FD2CDB" w:rsidRPr="00EA512E">
          <w:rPr>
            <w:rStyle w:val="Hyperlink"/>
            <w:rFonts w:cstheme="minorHAnsi"/>
            <w:sz w:val="16"/>
            <w:szCs w:val="16"/>
          </w:rPr>
          <w:t>https://apps.commerce.state.mn.us/eera/web/page/home</w:t>
        </w:r>
      </w:hyperlink>
      <w:r w:rsidRPr="00EA512E">
        <w:rPr>
          <w:rFonts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BE97" w14:textId="0042925C" w:rsidR="009806F6" w:rsidRDefault="009806F6">
    <w:pPr>
      <w:pStyle w:val="Header"/>
    </w:pPr>
    <w:r>
      <w:rPr>
        <w:noProof/>
      </w:rPr>
      <w:drawing>
        <wp:inline distT="0" distB="0" distL="0" distR="0" wp14:anchorId="14F576B8" wp14:editId="257776B7">
          <wp:extent cx="1155700" cy="722313"/>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R Logo Turquoise.png"/>
                  <pic:cNvPicPr/>
                </pic:nvPicPr>
                <pic:blipFill>
                  <a:blip r:embed="rId1">
                    <a:extLst>
                      <a:ext uri="{28A0092B-C50C-407E-A947-70E740481C1C}">
                        <a14:useLocalDpi xmlns:a14="http://schemas.microsoft.com/office/drawing/2010/main" val="0"/>
                      </a:ext>
                    </a:extLst>
                  </a:blip>
                  <a:stretch>
                    <a:fillRect/>
                  </a:stretch>
                </pic:blipFill>
                <pic:spPr>
                  <a:xfrm>
                    <a:off x="0" y="0"/>
                    <a:ext cx="1156556" cy="7228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6D7F2"/>
    <w:rsid w:val="00050A47"/>
    <w:rsid w:val="000571FB"/>
    <w:rsid w:val="00072C2A"/>
    <w:rsid w:val="000D6346"/>
    <w:rsid w:val="00124EA6"/>
    <w:rsid w:val="00132343"/>
    <w:rsid w:val="00170F0E"/>
    <w:rsid w:val="00192F26"/>
    <w:rsid w:val="00287345"/>
    <w:rsid w:val="0029596C"/>
    <w:rsid w:val="002A71BA"/>
    <w:rsid w:val="002C7618"/>
    <w:rsid w:val="003016FE"/>
    <w:rsid w:val="0030308A"/>
    <w:rsid w:val="00353DFD"/>
    <w:rsid w:val="003B7A0C"/>
    <w:rsid w:val="00434291"/>
    <w:rsid w:val="004C3D3D"/>
    <w:rsid w:val="005071B5"/>
    <w:rsid w:val="00523E36"/>
    <w:rsid w:val="00595A50"/>
    <w:rsid w:val="005A6EE9"/>
    <w:rsid w:val="006A568F"/>
    <w:rsid w:val="006D10C3"/>
    <w:rsid w:val="0071254C"/>
    <w:rsid w:val="0073504F"/>
    <w:rsid w:val="00761323"/>
    <w:rsid w:val="007D3CB1"/>
    <w:rsid w:val="00866DDC"/>
    <w:rsid w:val="00875889"/>
    <w:rsid w:val="008865EA"/>
    <w:rsid w:val="009169F1"/>
    <w:rsid w:val="009806F6"/>
    <w:rsid w:val="009B3291"/>
    <w:rsid w:val="009F76D3"/>
    <w:rsid w:val="00A14A00"/>
    <w:rsid w:val="00A35C8E"/>
    <w:rsid w:val="00A42A9E"/>
    <w:rsid w:val="00A572C8"/>
    <w:rsid w:val="00AD1EBD"/>
    <w:rsid w:val="00AF2F55"/>
    <w:rsid w:val="00B83F12"/>
    <w:rsid w:val="00CD27F0"/>
    <w:rsid w:val="00CF7BFD"/>
    <w:rsid w:val="00D17035"/>
    <w:rsid w:val="00D3504E"/>
    <w:rsid w:val="00DA1574"/>
    <w:rsid w:val="00EA512E"/>
    <w:rsid w:val="00EC24C4"/>
    <w:rsid w:val="00EE3573"/>
    <w:rsid w:val="00EF6E60"/>
    <w:rsid w:val="00F5218E"/>
    <w:rsid w:val="00FD2CDB"/>
    <w:rsid w:val="00FD4111"/>
    <w:rsid w:val="00FF5401"/>
    <w:rsid w:val="01559AE9"/>
    <w:rsid w:val="019EBFBD"/>
    <w:rsid w:val="04053DFB"/>
    <w:rsid w:val="04545B65"/>
    <w:rsid w:val="04B1BAFA"/>
    <w:rsid w:val="056FF44B"/>
    <w:rsid w:val="0A351836"/>
    <w:rsid w:val="0A645884"/>
    <w:rsid w:val="0B4EBE82"/>
    <w:rsid w:val="0C357980"/>
    <w:rsid w:val="0D6D3291"/>
    <w:rsid w:val="0E915DD7"/>
    <w:rsid w:val="0EDB2730"/>
    <w:rsid w:val="0EF7D607"/>
    <w:rsid w:val="0F26BF16"/>
    <w:rsid w:val="0FB8844D"/>
    <w:rsid w:val="1002D47A"/>
    <w:rsid w:val="1055C418"/>
    <w:rsid w:val="11F5D2C0"/>
    <w:rsid w:val="12243CBC"/>
    <w:rsid w:val="12902FDD"/>
    <w:rsid w:val="13BD4B84"/>
    <w:rsid w:val="13F2353A"/>
    <w:rsid w:val="146B8A83"/>
    <w:rsid w:val="14952AE7"/>
    <w:rsid w:val="14D6459D"/>
    <w:rsid w:val="158E059B"/>
    <w:rsid w:val="169AA185"/>
    <w:rsid w:val="16C19193"/>
    <w:rsid w:val="18888F28"/>
    <w:rsid w:val="1A2569AF"/>
    <w:rsid w:val="1B63B353"/>
    <w:rsid w:val="1C82E6FF"/>
    <w:rsid w:val="1CA8FEB9"/>
    <w:rsid w:val="1D0A0FA2"/>
    <w:rsid w:val="1D68ADAE"/>
    <w:rsid w:val="1E2B3462"/>
    <w:rsid w:val="1E822BB8"/>
    <w:rsid w:val="1ED21F58"/>
    <w:rsid w:val="20192C13"/>
    <w:rsid w:val="221560D4"/>
    <w:rsid w:val="22AE412D"/>
    <w:rsid w:val="2317693B"/>
    <w:rsid w:val="23B30638"/>
    <w:rsid w:val="244A118E"/>
    <w:rsid w:val="2466A6A0"/>
    <w:rsid w:val="2494D5E0"/>
    <w:rsid w:val="24F16D3C"/>
    <w:rsid w:val="2537B216"/>
    <w:rsid w:val="2591F38E"/>
    <w:rsid w:val="25DBA388"/>
    <w:rsid w:val="260BAE8D"/>
    <w:rsid w:val="26D1059C"/>
    <w:rsid w:val="28437931"/>
    <w:rsid w:val="29A079B6"/>
    <w:rsid w:val="29EA12B7"/>
    <w:rsid w:val="2A138968"/>
    <w:rsid w:val="2B6C353B"/>
    <w:rsid w:val="2C7B62E5"/>
    <w:rsid w:val="2D68A46B"/>
    <w:rsid w:val="2E1ABFF8"/>
    <w:rsid w:val="2E86D7F2"/>
    <w:rsid w:val="2F7479D8"/>
    <w:rsid w:val="307A97C1"/>
    <w:rsid w:val="30ACC648"/>
    <w:rsid w:val="314D44D1"/>
    <w:rsid w:val="31A37141"/>
    <w:rsid w:val="320FD209"/>
    <w:rsid w:val="32D1AAF7"/>
    <w:rsid w:val="32E91532"/>
    <w:rsid w:val="33B9ECE7"/>
    <w:rsid w:val="33D1F712"/>
    <w:rsid w:val="33F466B6"/>
    <w:rsid w:val="340D1F2A"/>
    <w:rsid w:val="34881641"/>
    <w:rsid w:val="358F10F2"/>
    <w:rsid w:val="36EF16EC"/>
    <w:rsid w:val="37A2B04D"/>
    <w:rsid w:val="39361C8F"/>
    <w:rsid w:val="39988B41"/>
    <w:rsid w:val="3AAD9D8C"/>
    <w:rsid w:val="3B6A44D6"/>
    <w:rsid w:val="3B717534"/>
    <w:rsid w:val="3C496DED"/>
    <w:rsid w:val="3C516D20"/>
    <w:rsid w:val="3D2616EC"/>
    <w:rsid w:val="3D2EC8EB"/>
    <w:rsid w:val="3DBDDB85"/>
    <w:rsid w:val="3F1A6820"/>
    <w:rsid w:val="3F83B10D"/>
    <w:rsid w:val="408A7F0E"/>
    <w:rsid w:val="41089063"/>
    <w:rsid w:val="420CF88D"/>
    <w:rsid w:val="423F9268"/>
    <w:rsid w:val="42C4552F"/>
    <w:rsid w:val="4347CAAB"/>
    <w:rsid w:val="434C7DB8"/>
    <w:rsid w:val="43945DE3"/>
    <w:rsid w:val="43DB62C9"/>
    <w:rsid w:val="44DD7D4B"/>
    <w:rsid w:val="46B2D648"/>
    <w:rsid w:val="4A0B3C7E"/>
    <w:rsid w:val="4A23B8E8"/>
    <w:rsid w:val="4ABD46E7"/>
    <w:rsid w:val="4C6C3284"/>
    <w:rsid w:val="4CAA6AE5"/>
    <w:rsid w:val="4D921F20"/>
    <w:rsid w:val="4F6C6FBE"/>
    <w:rsid w:val="5022AD9D"/>
    <w:rsid w:val="5030A76E"/>
    <w:rsid w:val="5046AEA3"/>
    <w:rsid w:val="509E7082"/>
    <w:rsid w:val="50E35677"/>
    <w:rsid w:val="5145C708"/>
    <w:rsid w:val="52402B20"/>
    <w:rsid w:val="533A1018"/>
    <w:rsid w:val="5400E12F"/>
    <w:rsid w:val="54737BF8"/>
    <w:rsid w:val="565D4C05"/>
    <w:rsid w:val="58984238"/>
    <w:rsid w:val="5A08885A"/>
    <w:rsid w:val="5A294DCE"/>
    <w:rsid w:val="5AE077A5"/>
    <w:rsid w:val="5B7C7927"/>
    <w:rsid w:val="5C4D1BED"/>
    <w:rsid w:val="5C955F44"/>
    <w:rsid w:val="5D36569D"/>
    <w:rsid w:val="5D44F8A4"/>
    <w:rsid w:val="5E2CF916"/>
    <w:rsid w:val="5EDCF40A"/>
    <w:rsid w:val="5EE4B88E"/>
    <w:rsid w:val="601FA90A"/>
    <w:rsid w:val="60825B82"/>
    <w:rsid w:val="6146458F"/>
    <w:rsid w:val="619AD5C9"/>
    <w:rsid w:val="621494CC"/>
    <w:rsid w:val="62E6474F"/>
    <w:rsid w:val="63B0652D"/>
    <w:rsid w:val="63CF7E54"/>
    <w:rsid w:val="640A6AC9"/>
    <w:rsid w:val="64643B1A"/>
    <w:rsid w:val="64753BFD"/>
    <w:rsid w:val="64FCC2F5"/>
    <w:rsid w:val="65AF16B4"/>
    <w:rsid w:val="661DE811"/>
    <w:rsid w:val="66EED250"/>
    <w:rsid w:val="6790A752"/>
    <w:rsid w:val="693C8343"/>
    <w:rsid w:val="6A1E0B28"/>
    <w:rsid w:val="6A645BA5"/>
    <w:rsid w:val="6BC167DC"/>
    <w:rsid w:val="6C1EC661"/>
    <w:rsid w:val="6C34C338"/>
    <w:rsid w:val="6D34F3FD"/>
    <w:rsid w:val="6F145E0C"/>
    <w:rsid w:val="6FBF69A5"/>
    <w:rsid w:val="703C6B69"/>
    <w:rsid w:val="707CFA15"/>
    <w:rsid w:val="71FC7CFA"/>
    <w:rsid w:val="72066E65"/>
    <w:rsid w:val="724E9356"/>
    <w:rsid w:val="73A33D51"/>
    <w:rsid w:val="75CB522C"/>
    <w:rsid w:val="76135176"/>
    <w:rsid w:val="7643C9B8"/>
    <w:rsid w:val="769E4920"/>
    <w:rsid w:val="770AD96C"/>
    <w:rsid w:val="78CF42AC"/>
    <w:rsid w:val="7936548A"/>
    <w:rsid w:val="79739A23"/>
    <w:rsid w:val="7973D0F1"/>
    <w:rsid w:val="7A237507"/>
    <w:rsid w:val="7A866BDD"/>
    <w:rsid w:val="7B12965C"/>
    <w:rsid w:val="7BA40B0F"/>
    <w:rsid w:val="7BB35FC6"/>
    <w:rsid w:val="7E143386"/>
    <w:rsid w:val="7E4D5337"/>
    <w:rsid w:val="7FA01619"/>
    <w:rsid w:val="7FF1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D7F2"/>
  <w15:chartTrackingRefBased/>
  <w15:docId w15:val="{F840B437-8CC0-4C22-909D-4B9B8668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595A50"/>
    <w:rPr>
      <w:sz w:val="16"/>
      <w:szCs w:val="16"/>
    </w:rPr>
  </w:style>
  <w:style w:type="paragraph" w:styleId="CommentText">
    <w:name w:val="annotation text"/>
    <w:basedOn w:val="Normal"/>
    <w:link w:val="CommentTextChar"/>
    <w:uiPriority w:val="99"/>
    <w:semiHidden/>
    <w:unhideWhenUsed/>
    <w:rsid w:val="00595A50"/>
    <w:pPr>
      <w:spacing w:line="240" w:lineRule="auto"/>
    </w:pPr>
    <w:rPr>
      <w:sz w:val="20"/>
      <w:szCs w:val="20"/>
    </w:rPr>
  </w:style>
  <w:style w:type="character" w:customStyle="1" w:styleId="CommentTextChar">
    <w:name w:val="Comment Text Char"/>
    <w:basedOn w:val="DefaultParagraphFont"/>
    <w:link w:val="CommentText"/>
    <w:uiPriority w:val="99"/>
    <w:semiHidden/>
    <w:rsid w:val="00595A50"/>
    <w:rPr>
      <w:sz w:val="20"/>
      <w:szCs w:val="20"/>
    </w:rPr>
  </w:style>
  <w:style w:type="paragraph" w:styleId="CommentSubject">
    <w:name w:val="annotation subject"/>
    <w:basedOn w:val="CommentText"/>
    <w:next w:val="CommentText"/>
    <w:link w:val="CommentSubjectChar"/>
    <w:uiPriority w:val="99"/>
    <w:semiHidden/>
    <w:unhideWhenUsed/>
    <w:rsid w:val="00595A50"/>
    <w:rPr>
      <w:b/>
      <w:bCs/>
    </w:rPr>
  </w:style>
  <w:style w:type="character" w:customStyle="1" w:styleId="CommentSubjectChar">
    <w:name w:val="Comment Subject Char"/>
    <w:basedOn w:val="CommentTextChar"/>
    <w:link w:val="CommentSubject"/>
    <w:uiPriority w:val="99"/>
    <w:semiHidden/>
    <w:rsid w:val="00595A50"/>
    <w:rPr>
      <w:b/>
      <w:bCs/>
      <w:sz w:val="20"/>
      <w:szCs w:val="20"/>
    </w:rPr>
  </w:style>
  <w:style w:type="paragraph" w:styleId="BalloonText">
    <w:name w:val="Balloon Text"/>
    <w:basedOn w:val="Normal"/>
    <w:link w:val="BalloonTextChar"/>
    <w:uiPriority w:val="99"/>
    <w:semiHidden/>
    <w:unhideWhenUsed/>
    <w:rsid w:val="00595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A50"/>
    <w:rPr>
      <w:rFonts w:ascii="Segoe UI" w:hAnsi="Segoe UI" w:cs="Segoe UI"/>
      <w:sz w:val="18"/>
      <w:szCs w:val="18"/>
    </w:rPr>
  </w:style>
  <w:style w:type="paragraph" w:styleId="FootnoteText">
    <w:name w:val="footnote text"/>
    <w:basedOn w:val="Normal"/>
    <w:link w:val="FootnoteTextChar"/>
    <w:uiPriority w:val="99"/>
    <w:semiHidden/>
    <w:unhideWhenUsed/>
    <w:rsid w:val="00CD27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7F0"/>
    <w:rPr>
      <w:sz w:val="20"/>
      <w:szCs w:val="20"/>
    </w:rPr>
  </w:style>
  <w:style w:type="character" w:styleId="FollowedHyperlink">
    <w:name w:val="FollowedHyperlink"/>
    <w:basedOn w:val="DefaultParagraphFont"/>
    <w:uiPriority w:val="99"/>
    <w:semiHidden/>
    <w:unhideWhenUsed/>
    <w:rsid w:val="00CD27F0"/>
    <w:rPr>
      <w:color w:val="954F72" w:themeColor="followedHyperlink"/>
      <w:u w:val="single"/>
    </w:rPr>
  </w:style>
  <w:style w:type="paragraph" w:styleId="NormalWeb">
    <w:name w:val="Normal (Web)"/>
    <w:basedOn w:val="Normal"/>
    <w:uiPriority w:val="99"/>
    <w:unhideWhenUsed/>
    <w:rsid w:val="00CD2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FD2CDB"/>
    <w:rPr>
      <w:color w:val="605E5C"/>
      <w:shd w:val="clear" w:color="auto" w:fill="E1DFDD"/>
    </w:rPr>
  </w:style>
  <w:style w:type="paragraph" w:customStyle="1" w:styleId="MRRSubheader">
    <w:name w:val="MRR Subheader"/>
    <w:basedOn w:val="Heading2"/>
    <w:link w:val="MRRSubheaderChar"/>
    <w:qFormat/>
    <w:rsid w:val="009806F6"/>
    <w:rPr>
      <w:rFonts w:ascii="Inter Medium" w:hAnsi="Inter Medium"/>
      <w:color w:val="04848E"/>
    </w:rPr>
  </w:style>
  <w:style w:type="paragraph" w:styleId="Header">
    <w:name w:val="header"/>
    <w:basedOn w:val="Normal"/>
    <w:link w:val="HeaderChar"/>
    <w:uiPriority w:val="99"/>
    <w:unhideWhenUsed/>
    <w:rsid w:val="009806F6"/>
    <w:pPr>
      <w:tabs>
        <w:tab w:val="center" w:pos="4680"/>
        <w:tab w:val="right" w:pos="9360"/>
      </w:tabs>
      <w:spacing w:after="0" w:line="240" w:lineRule="auto"/>
    </w:pPr>
  </w:style>
  <w:style w:type="character" w:customStyle="1" w:styleId="MRRSubheaderChar">
    <w:name w:val="MRR Subheader Char"/>
    <w:basedOn w:val="Heading2Char"/>
    <w:link w:val="MRRSubheader"/>
    <w:rsid w:val="009806F6"/>
    <w:rPr>
      <w:rFonts w:ascii="Inter Medium" w:eastAsiaTheme="majorEastAsia" w:hAnsi="Inter Medium" w:cstheme="majorBidi"/>
      <w:color w:val="04848E"/>
      <w:sz w:val="26"/>
      <w:szCs w:val="26"/>
    </w:rPr>
  </w:style>
  <w:style w:type="character" w:customStyle="1" w:styleId="HeaderChar">
    <w:name w:val="Header Char"/>
    <w:basedOn w:val="DefaultParagraphFont"/>
    <w:link w:val="Header"/>
    <w:uiPriority w:val="99"/>
    <w:rsid w:val="009806F6"/>
  </w:style>
  <w:style w:type="paragraph" w:styleId="Footer">
    <w:name w:val="footer"/>
    <w:basedOn w:val="Normal"/>
    <w:link w:val="FooterChar"/>
    <w:uiPriority w:val="99"/>
    <w:unhideWhenUsed/>
    <w:rsid w:val="00980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2959">
      <w:bodyDiv w:val="1"/>
      <w:marLeft w:val="0"/>
      <w:marRight w:val="0"/>
      <w:marTop w:val="0"/>
      <w:marBottom w:val="0"/>
      <w:divBdr>
        <w:top w:val="none" w:sz="0" w:space="0" w:color="auto"/>
        <w:left w:val="none" w:sz="0" w:space="0" w:color="auto"/>
        <w:bottom w:val="none" w:sz="0" w:space="0" w:color="auto"/>
        <w:right w:val="none" w:sz="0" w:space="0" w:color="auto"/>
      </w:divBdr>
    </w:div>
    <w:div w:id="820316972">
      <w:bodyDiv w:val="1"/>
      <w:marLeft w:val="0"/>
      <w:marRight w:val="0"/>
      <w:marTop w:val="0"/>
      <w:marBottom w:val="0"/>
      <w:divBdr>
        <w:top w:val="none" w:sz="0" w:space="0" w:color="auto"/>
        <w:left w:val="none" w:sz="0" w:space="0" w:color="auto"/>
        <w:bottom w:val="none" w:sz="0" w:space="0" w:color="auto"/>
        <w:right w:val="none" w:sz="0" w:space="0" w:color="auto"/>
      </w:divBdr>
    </w:div>
    <w:div w:id="857819554">
      <w:bodyDiv w:val="1"/>
      <w:marLeft w:val="0"/>
      <w:marRight w:val="0"/>
      <w:marTop w:val="0"/>
      <w:marBottom w:val="0"/>
      <w:divBdr>
        <w:top w:val="none" w:sz="0" w:space="0" w:color="auto"/>
        <w:left w:val="none" w:sz="0" w:space="0" w:color="auto"/>
        <w:bottom w:val="none" w:sz="0" w:space="0" w:color="auto"/>
        <w:right w:val="none" w:sz="0" w:space="0" w:color="auto"/>
      </w:divBdr>
    </w:div>
    <w:div w:id="873738241">
      <w:bodyDiv w:val="1"/>
      <w:marLeft w:val="0"/>
      <w:marRight w:val="0"/>
      <w:marTop w:val="0"/>
      <w:marBottom w:val="0"/>
      <w:divBdr>
        <w:top w:val="none" w:sz="0" w:space="0" w:color="auto"/>
        <w:left w:val="none" w:sz="0" w:space="0" w:color="auto"/>
        <w:bottom w:val="none" w:sz="0" w:space="0" w:color="auto"/>
        <w:right w:val="none" w:sz="0" w:space="0" w:color="auto"/>
      </w:divBdr>
    </w:div>
    <w:div w:id="1772121432">
      <w:bodyDiv w:val="1"/>
      <w:marLeft w:val="0"/>
      <w:marRight w:val="0"/>
      <w:marTop w:val="0"/>
      <w:marBottom w:val="0"/>
      <w:divBdr>
        <w:top w:val="none" w:sz="0" w:space="0" w:color="auto"/>
        <w:left w:val="none" w:sz="0" w:space="0" w:color="auto"/>
        <w:bottom w:val="none" w:sz="0" w:space="0" w:color="auto"/>
        <w:right w:val="none" w:sz="0" w:space="0" w:color="auto"/>
      </w:divBdr>
    </w:div>
    <w:div w:id="199171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ia.gov/energyexplained/electricity/use-of-electricity.php" TargetMode="External"/><Relationship Id="rId2" Type="http://schemas.openxmlformats.org/officeDocument/2006/relationships/hyperlink" Target="http://www.nrcs.usda.gov/wps/portal/nrcs/detail/null/?cid=nrcs143_014052" TargetMode="External"/><Relationship Id="rId1" Type="http://schemas.openxmlformats.org/officeDocument/2006/relationships/hyperlink" Target="http://www.nrcs.usda.gov/wps/portal/nrcs/detail/null/?cid=nrcs143_014052" TargetMode="External"/><Relationship Id="rId4" Type="http://schemas.openxmlformats.org/officeDocument/2006/relationships/hyperlink" Target="https://apps.commerce.state.mn.us/eera/web/page/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470660BE76D4D9D3E9FA92B5858F7" ma:contentTypeVersion="7" ma:contentTypeDescription="Create a new document." ma:contentTypeScope="" ma:versionID="bc470000920a2b05585c0565f04deddf">
  <xsd:schema xmlns:xsd="http://www.w3.org/2001/XMLSchema" xmlns:xs="http://www.w3.org/2001/XMLSchema" xmlns:p="http://schemas.microsoft.com/office/2006/metadata/properties" xmlns:ns3="5c97d31f-2e40-4e0d-b688-a430fb813758" xmlns:ns4="c93f4d4f-321a-482f-9905-c6a9f658062c" targetNamespace="http://schemas.microsoft.com/office/2006/metadata/properties" ma:root="true" ma:fieldsID="bdeec60dd35ca9a3b62c7de647bc6d1e" ns3:_="" ns4:_="">
    <xsd:import namespace="5c97d31f-2e40-4e0d-b688-a430fb813758"/>
    <xsd:import namespace="c93f4d4f-321a-482f-9905-c6a9f65806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d31f-2e40-4e0d-b688-a430fb813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3f4d4f-321a-482f-9905-c6a9f65806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672B-723F-4796-A1B5-EA8C87B62659}">
  <ds:schemaRefs>
    <ds:schemaRef ds:uri="http://schemas.microsoft.com/sharepoint/v3/contenttype/forms"/>
  </ds:schemaRefs>
</ds:datastoreItem>
</file>

<file path=customXml/itemProps2.xml><?xml version="1.0" encoding="utf-8"?>
<ds:datastoreItem xmlns:ds="http://schemas.openxmlformats.org/officeDocument/2006/customXml" ds:itemID="{2EF25CFA-DED1-4F8B-B1A2-3998AE797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82980D-2104-4C85-ADB8-37BB3BEFC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d31f-2e40-4e0d-b688-a430fb813758"/>
    <ds:schemaRef ds:uri="c93f4d4f-321a-482f-9905-c6a9f6580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A14BE-0355-41B8-8E6C-C1C9ACDB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 Smerillo</dc:creator>
  <cp:keywords/>
  <dc:description/>
  <cp:lastModifiedBy>Madelyn Smerillo</cp:lastModifiedBy>
  <cp:revision>2</cp:revision>
  <dcterms:created xsi:type="dcterms:W3CDTF">2022-04-22T17:55:00Z</dcterms:created>
  <dcterms:modified xsi:type="dcterms:W3CDTF">2022-04-22T17:55:00Z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0x010100060470660BE76D4D9D3E9FA92B5858F7</vt:lpwstr>
  </property>
</Properties>
</file>